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0"/>
      </w:tblGrid>
      <w:tr w:rsidR="00A42039" w:rsidRPr="00F63847" w:rsidTr="0020491E">
        <w:trPr>
          <w:trHeight w:val="454"/>
        </w:trPr>
        <w:tc>
          <w:tcPr>
            <w:tcW w:w="91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2039" w:rsidRPr="00F63847" w:rsidRDefault="00A42039" w:rsidP="00A37AC8">
            <w:pPr>
              <w:jc w:val="center"/>
              <w:rPr>
                <w:rFonts w:ascii="Arial" w:hAnsi="Arial" w:cs="Arial"/>
                <w:b/>
                <w:bCs/>
                <w:sz w:val="24"/>
                <w:szCs w:val="24"/>
              </w:rPr>
            </w:pPr>
            <w:bookmarkStart w:id="0" w:name="_GoBack"/>
            <w:bookmarkEnd w:id="0"/>
            <w:r w:rsidRPr="00F63847">
              <w:rPr>
                <w:rFonts w:ascii="Arial" w:hAnsi="Arial" w:cs="Arial"/>
                <w:b/>
                <w:bCs/>
                <w:sz w:val="24"/>
                <w:szCs w:val="24"/>
              </w:rPr>
              <w:br w:type="page"/>
            </w:r>
            <w:r w:rsidR="00A37AC8">
              <w:rPr>
                <w:rFonts w:ascii="Arial" w:hAnsi="Arial" w:cs="Arial"/>
                <w:b/>
                <w:bCs/>
                <w:sz w:val="24"/>
                <w:szCs w:val="24"/>
              </w:rPr>
              <w:t>Merkblatt</w:t>
            </w:r>
          </w:p>
        </w:tc>
      </w:tr>
    </w:tbl>
    <w:p w:rsidR="00A42039" w:rsidRPr="00F63847" w:rsidRDefault="00A42039" w:rsidP="00A42039">
      <w:pPr>
        <w:rPr>
          <w:rFonts w:ascii="Arial" w:hAnsi="Arial" w:cs="Arial"/>
          <w:sz w:val="24"/>
          <w:szCs w:val="24"/>
          <w:lang w:eastAsia="en-US"/>
        </w:rPr>
      </w:pPr>
    </w:p>
    <w:p w:rsidR="00A42039" w:rsidRPr="00F63847" w:rsidRDefault="00A42039" w:rsidP="00A42039">
      <w:pPr>
        <w:rPr>
          <w:rFonts w:ascii="Arial" w:hAnsi="Arial" w:cs="Arial"/>
          <w:sz w:val="24"/>
          <w:szCs w:val="24"/>
          <w:lang w:eastAsia="en-US"/>
        </w:rPr>
      </w:pPr>
      <w:r w:rsidRPr="00F63847">
        <w:rPr>
          <w:rFonts w:ascii="Arial" w:hAnsi="Arial" w:cs="Arial"/>
          <w:b/>
          <w:bCs/>
          <w:sz w:val="24"/>
          <w:szCs w:val="24"/>
          <w:u w:val="single"/>
          <w:lang w:eastAsia="en-US"/>
        </w:rPr>
        <w:t>A.  Allgemeines</w:t>
      </w:r>
      <w:r w:rsidRPr="00F63847">
        <w:rPr>
          <w:rFonts w:ascii="Arial" w:hAnsi="Arial" w:cs="Arial"/>
          <w:sz w:val="24"/>
          <w:szCs w:val="24"/>
          <w:lang w:eastAsia="en-US"/>
        </w:rPr>
        <w:br/>
      </w:r>
    </w:p>
    <w:p w:rsidR="00A42039" w:rsidRPr="00F63847" w:rsidRDefault="00A42039" w:rsidP="00A42039">
      <w:pPr>
        <w:rPr>
          <w:rFonts w:ascii="Arial" w:hAnsi="Arial" w:cs="Arial"/>
          <w:b/>
          <w:bCs/>
          <w:sz w:val="24"/>
          <w:szCs w:val="24"/>
        </w:rPr>
      </w:pPr>
      <w:r w:rsidRPr="00F63847">
        <w:rPr>
          <w:rFonts w:ascii="Arial" w:hAnsi="Arial" w:cs="Arial"/>
          <w:b/>
          <w:bCs/>
          <w:sz w:val="24"/>
          <w:szCs w:val="24"/>
        </w:rPr>
        <w:t>a) Gaststättengesetz (GastG)</w:t>
      </w:r>
    </w:p>
    <w:p w:rsidR="00A42039" w:rsidRPr="00F63847" w:rsidRDefault="00A42039" w:rsidP="00A42039">
      <w:pPr>
        <w:rPr>
          <w:rFonts w:ascii="Arial" w:hAnsi="Arial" w:cs="Arial"/>
          <w:sz w:val="24"/>
          <w:szCs w:val="24"/>
        </w:rPr>
      </w:pPr>
      <w:r w:rsidRPr="00F63847">
        <w:rPr>
          <w:rFonts w:ascii="Arial" w:hAnsi="Arial" w:cs="Arial"/>
          <w:sz w:val="24"/>
          <w:szCs w:val="24"/>
        </w:rPr>
        <w:t>Aus besonderem Anlass kann der Betrieb eines erlaubnisbedürftigen Gaststättengewerbes unter erleichterten Voraussetzungen vorübergehend auf Widerruf gestattet werden. Einer Gestattung nach § 12 GastG bedarf es, wenn vorübergehend gewerbsmäßig Alkohol außerhalb einer bestehenden, erlaubten Gaststätte zum Verzehr an Ort und Stelle verabreicht wird. Bei der gewerbsmäßigen Verabreichung alkoholischer Getränke muss Gewinnerzielungsabsicht, Selbständigkeit und Fortsetzungsabsicht vorliegen. Keiner Erlaubnis bedarf daher beispielsweise:</w:t>
      </w:r>
    </w:p>
    <w:p w:rsidR="00A42039" w:rsidRPr="00F63847" w:rsidRDefault="00A42039" w:rsidP="00A42039">
      <w:pPr>
        <w:rPr>
          <w:rFonts w:ascii="Arial" w:hAnsi="Arial" w:cs="Arial"/>
          <w:sz w:val="24"/>
          <w:szCs w:val="24"/>
        </w:rPr>
      </w:pPr>
    </w:p>
    <w:p w:rsidR="00A42039" w:rsidRPr="00F63847" w:rsidRDefault="00A42039" w:rsidP="00A42039">
      <w:pPr>
        <w:numPr>
          <w:ilvl w:val="0"/>
          <w:numId w:val="1"/>
        </w:numPr>
        <w:overflowPunct/>
        <w:autoSpaceDE/>
        <w:autoSpaceDN/>
        <w:adjustRightInd/>
        <w:ind w:left="284" w:hanging="284"/>
        <w:textAlignment w:val="auto"/>
        <w:rPr>
          <w:rFonts w:ascii="Arial" w:hAnsi="Arial" w:cs="Arial"/>
          <w:sz w:val="24"/>
          <w:szCs w:val="24"/>
          <w:lang w:eastAsia="en-US"/>
        </w:rPr>
      </w:pPr>
      <w:r w:rsidRPr="00F63847">
        <w:rPr>
          <w:rFonts w:ascii="Arial" w:hAnsi="Arial" w:cs="Arial"/>
          <w:sz w:val="24"/>
          <w:szCs w:val="24"/>
          <w:lang w:eastAsia="en-US"/>
        </w:rPr>
        <w:t>die gewerbsmäßige Verabreichung von ausschließlich nichtalkoholischen Getränken,</w:t>
      </w:r>
    </w:p>
    <w:p w:rsidR="00A42039" w:rsidRPr="00F63847" w:rsidRDefault="00A42039" w:rsidP="00A42039">
      <w:pPr>
        <w:numPr>
          <w:ilvl w:val="0"/>
          <w:numId w:val="1"/>
        </w:numPr>
        <w:overflowPunct/>
        <w:autoSpaceDE/>
        <w:autoSpaceDN/>
        <w:adjustRightInd/>
        <w:ind w:left="284" w:hanging="284"/>
        <w:textAlignment w:val="auto"/>
        <w:rPr>
          <w:rFonts w:ascii="Arial" w:hAnsi="Arial" w:cs="Arial"/>
          <w:sz w:val="24"/>
          <w:szCs w:val="24"/>
          <w:lang w:eastAsia="en-US"/>
        </w:rPr>
      </w:pPr>
      <w:r w:rsidRPr="00F63847">
        <w:rPr>
          <w:rFonts w:ascii="Arial" w:hAnsi="Arial" w:cs="Arial"/>
          <w:sz w:val="24"/>
          <w:szCs w:val="24"/>
          <w:lang w:eastAsia="en-US"/>
        </w:rPr>
        <w:t>die Verabreichung von alkoholischen Getränken zum Selbstkostenpreis.</w:t>
      </w:r>
    </w:p>
    <w:p w:rsidR="00A42039" w:rsidRPr="00F63847" w:rsidRDefault="00A42039" w:rsidP="00A42039">
      <w:pPr>
        <w:rPr>
          <w:rFonts w:ascii="Arial" w:hAnsi="Arial" w:cs="Arial"/>
          <w:sz w:val="24"/>
          <w:szCs w:val="24"/>
          <w:lang w:eastAsia="en-US"/>
        </w:rPr>
      </w:pPr>
    </w:p>
    <w:p w:rsidR="00A42039" w:rsidRPr="00F63847" w:rsidRDefault="00A42039" w:rsidP="00A42039">
      <w:pPr>
        <w:rPr>
          <w:rFonts w:ascii="Arial" w:hAnsi="Arial" w:cs="Arial"/>
          <w:sz w:val="24"/>
          <w:szCs w:val="24"/>
          <w:lang w:eastAsia="en-US"/>
        </w:rPr>
      </w:pPr>
      <w:r w:rsidRPr="00F63847">
        <w:rPr>
          <w:rFonts w:ascii="Arial" w:hAnsi="Arial" w:cs="Arial"/>
          <w:sz w:val="24"/>
          <w:szCs w:val="24"/>
          <w:lang w:eastAsia="en-US"/>
        </w:rPr>
        <w:t>Im zuletzt genannten Fall ist der Erlaubnisbehörde allerdings eine entsprechende schriftliche Erklärung vorzulegen.</w:t>
      </w:r>
    </w:p>
    <w:p w:rsidR="00A42039" w:rsidRPr="00F63847" w:rsidRDefault="00A42039" w:rsidP="00A42039">
      <w:pPr>
        <w:rPr>
          <w:rFonts w:ascii="Arial" w:hAnsi="Arial" w:cs="Arial"/>
          <w:sz w:val="24"/>
          <w:szCs w:val="24"/>
        </w:rPr>
      </w:pPr>
      <w:r w:rsidRPr="00F63847">
        <w:rPr>
          <w:rFonts w:ascii="Arial" w:hAnsi="Arial" w:cs="Arial"/>
          <w:sz w:val="24"/>
          <w:szCs w:val="24"/>
        </w:rPr>
        <w:t>Wer an mehr als 12 Tagen im Jahr am selben Ort gewerbsmäßig alkoholische Getränke verabreicht, bedarf einer Erlaubnis nach § 2 GastG.</w:t>
      </w:r>
    </w:p>
    <w:p w:rsidR="00A42039" w:rsidRPr="00F63847" w:rsidRDefault="00A42039" w:rsidP="00A42039">
      <w:pPr>
        <w:rPr>
          <w:rFonts w:ascii="Arial" w:hAnsi="Arial" w:cs="Arial"/>
          <w:sz w:val="24"/>
          <w:szCs w:val="24"/>
          <w:lang w:eastAsia="en-US"/>
        </w:rPr>
      </w:pPr>
      <w:r w:rsidRPr="00F63847">
        <w:rPr>
          <w:rFonts w:ascii="Arial" w:hAnsi="Arial" w:cs="Arial"/>
          <w:sz w:val="24"/>
          <w:szCs w:val="24"/>
          <w:lang w:eastAsia="en-US"/>
        </w:rPr>
        <w:t>Eine Gestattung wird in der Regel auf die Dauer von maximal 4 Tagen bewilligt.</w:t>
      </w:r>
    </w:p>
    <w:p w:rsidR="00A42039" w:rsidRPr="00F63847" w:rsidRDefault="00A42039" w:rsidP="00A42039">
      <w:pPr>
        <w:rPr>
          <w:rFonts w:ascii="Arial" w:hAnsi="Arial" w:cs="Arial"/>
          <w:strike/>
          <w:sz w:val="24"/>
          <w:szCs w:val="24"/>
          <w:lang w:eastAsia="en-US"/>
        </w:rPr>
      </w:pPr>
    </w:p>
    <w:p w:rsidR="00A42039" w:rsidRPr="00F63847" w:rsidRDefault="00A42039" w:rsidP="00A42039">
      <w:pPr>
        <w:rPr>
          <w:rFonts w:ascii="Arial" w:hAnsi="Arial" w:cs="Arial"/>
          <w:b/>
          <w:bCs/>
          <w:sz w:val="24"/>
          <w:szCs w:val="24"/>
          <w:lang w:eastAsia="en-US"/>
        </w:rPr>
      </w:pPr>
      <w:r w:rsidRPr="00F63847">
        <w:rPr>
          <w:rFonts w:ascii="Arial" w:hAnsi="Arial" w:cs="Arial"/>
          <w:b/>
          <w:bCs/>
          <w:sz w:val="24"/>
          <w:szCs w:val="24"/>
          <w:lang w:eastAsia="en-US"/>
        </w:rPr>
        <w:t>b) Sonn- und Feiertagsgesetz (FTG)</w:t>
      </w:r>
    </w:p>
    <w:p w:rsidR="00A42039" w:rsidRPr="00F63847" w:rsidRDefault="00A42039" w:rsidP="00A42039">
      <w:pPr>
        <w:rPr>
          <w:rFonts w:ascii="Arial" w:hAnsi="Arial" w:cs="Arial"/>
          <w:sz w:val="24"/>
          <w:szCs w:val="24"/>
          <w:lang w:eastAsia="en-US"/>
        </w:rPr>
      </w:pPr>
      <w:r w:rsidRPr="00F63847">
        <w:rPr>
          <w:rFonts w:ascii="Arial" w:hAnsi="Arial" w:cs="Arial"/>
          <w:sz w:val="24"/>
          <w:szCs w:val="24"/>
          <w:lang w:eastAsia="en-US"/>
        </w:rPr>
        <w:t>Veranstaltungen, für die eine Gestattung erforderlich ist, werden nach § 7 und § 9 FTG an Sonntagen sowie gesetzlichen und kirchlichen Feiertagen (Ausnahme 1. Mai und 3. Oktober) erst nach der Zeit des Hauptgottesdienstes *) zugelassen; am Allgemeinen Buß- und Bettag kann während der Zeit des Hauptgottesdienstes sowohl am Vormittag als auch am Abend keine Gestattung erteilt werden.</w:t>
      </w:r>
    </w:p>
    <w:p w:rsidR="00A42039" w:rsidRPr="00F63847" w:rsidRDefault="00A42039" w:rsidP="00A42039">
      <w:pPr>
        <w:rPr>
          <w:rFonts w:ascii="Arial" w:hAnsi="Arial" w:cs="Arial"/>
          <w:sz w:val="24"/>
          <w:szCs w:val="24"/>
          <w:lang w:eastAsia="en-US"/>
        </w:rPr>
      </w:pPr>
      <w:r w:rsidRPr="00F63847">
        <w:rPr>
          <w:rFonts w:ascii="Arial" w:hAnsi="Arial" w:cs="Arial"/>
          <w:sz w:val="24"/>
          <w:szCs w:val="24"/>
          <w:lang w:eastAsia="en-US"/>
        </w:rPr>
        <w:t>Ausnahmen bedürfen der besonderen Bewilligung.</w:t>
      </w:r>
    </w:p>
    <w:p w:rsidR="00A42039" w:rsidRPr="00F63847" w:rsidRDefault="00A42039" w:rsidP="00A42039">
      <w:pPr>
        <w:rPr>
          <w:rFonts w:ascii="Arial" w:hAnsi="Arial" w:cs="Arial"/>
          <w:sz w:val="24"/>
          <w:szCs w:val="24"/>
          <w:lang w:eastAsia="en-US"/>
        </w:rPr>
      </w:pPr>
      <w:r w:rsidRPr="00F63847">
        <w:rPr>
          <w:rFonts w:ascii="Arial" w:hAnsi="Arial" w:cs="Arial"/>
          <w:sz w:val="24"/>
          <w:szCs w:val="24"/>
          <w:lang w:eastAsia="en-US"/>
        </w:rPr>
        <w:t>Gestattungen nach § 12 GastG werden nach § 8 FTG nicht erteilt am:</w:t>
      </w:r>
    </w:p>
    <w:p w:rsidR="00A42039" w:rsidRPr="00F63847" w:rsidRDefault="00A42039" w:rsidP="00A42039">
      <w:pPr>
        <w:numPr>
          <w:ilvl w:val="0"/>
          <w:numId w:val="2"/>
        </w:numPr>
        <w:tabs>
          <w:tab w:val="left" w:pos="284"/>
        </w:tabs>
        <w:overflowPunct/>
        <w:autoSpaceDE/>
        <w:autoSpaceDN/>
        <w:adjustRightInd/>
        <w:ind w:left="426" w:hanging="426"/>
        <w:textAlignment w:val="auto"/>
        <w:rPr>
          <w:rFonts w:ascii="Arial" w:hAnsi="Arial" w:cs="Arial"/>
          <w:sz w:val="24"/>
          <w:szCs w:val="24"/>
          <w:lang w:eastAsia="en-US"/>
        </w:rPr>
      </w:pPr>
      <w:r w:rsidRPr="00F63847">
        <w:rPr>
          <w:rFonts w:ascii="Arial" w:hAnsi="Arial" w:cs="Arial"/>
          <w:sz w:val="24"/>
          <w:szCs w:val="24"/>
          <w:lang w:eastAsia="en-US"/>
        </w:rPr>
        <w:t>Karfreitag ab 00:00 Uhr bis 24:00 Uhr</w:t>
      </w:r>
    </w:p>
    <w:p w:rsidR="00A42039" w:rsidRPr="00F63847" w:rsidRDefault="00A42039" w:rsidP="00A42039">
      <w:pPr>
        <w:numPr>
          <w:ilvl w:val="0"/>
          <w:numId w:val="2"/>
        </w:numPr>
        <w:tabs>
          <w:tab w:val="left" w:pos="284"/>
        </w:tabs>
        <w:overflowPunct/>
        <w:autoSpaceDE/>
        <w:autoSpaceDN/>
        <w:adjustRightInd/>
        <w:ind w:left="426" w:hanging="426"/>
        <w:textAlignment w:val="auto"/>
        <w:rPr>
          <w:rFonts w:ascii="Arial" w:hAnsi="Arial" w:cs="Arial"/>
          <w:sz w:val="24"/>
          <w:szCs w:val="24"/>
          <w:lang w:eastAsia="en-US"/>
        </w:rPr>
      </w:pPr>
      <w:r w:rsidRPr="00F63847">
        <w:rPr>
          <w:rFonts w:ascii="Arial" w:hAnsi="Arial" w:cs="Arial"/>
          <w:sz w:val="24"/>
          <w:szCs w:val="24"/>
          <w:lang w:eastAsia="en-US"/>
        </w:rPr>
        <w:t>Totengedenktag (</w:t>
      </w:r>
      <w:r w:rsidR="00BF56DE">
        <w:rPr>
          <w:rFonts w:ascii="Arial" w:hAnsi="Arial" w:cs="Arial"/>
          <w:sz w:val="24"/>
          <w:szCs w:val="24"/>
          <w:lang w:eastAsia="en-US"/>
        </w:rPr>
        <w:t>Sonntag vor dem 1. Advent) ab 05</w:t>
      </w:r>
      <w:r w:rsidRPr="00F63847">
        <w:rPr>
          <w:rFonts w:ascii="Arial" w:hAnsi="Arial" w:cs="Arial"/>
          <w:sz w:val="24"/>
          <w:szCs w:val="24"/>
          <w:lang w:eastAsia="en-US"/>
        </w:rPr>
        <w:t>:00 Uhr bis 24:00 Uhr</w:t>
      </w:r>
    </w:p>
    <w:p w:rsidR="00A42039" w:rsidRDefault="00A42039" w:rsidP="00A42039">
      <w:pPr>
        <w:rPr>
          <w:rFonts w:ascii="Arial" w:hAnsi="Arial" w:cs="Arial"/>
          <w:sz w:val="24"/>
          <w:szCs w:val="24"/>
          <w:lang w:eastAsia="en-US"/>
        </w:rPr>
      </w:pPr>
    </w:p>
    <w:p w:rsidR="0078564D" w:rsidRPr="00F63847" w:rsidRDefault="0078564D" w:rsidP="00A42039">
      <w:pPr>
        <w:rPr>
          <w:rFonts w:ascii="Arial" w:hAnsi="Arial" w:cs="Arial"/>
          <w:sz w:val="24"/>
          <w:szCs w:val="24"/>
          <w:lang w:eastAsia="en-US"/>
        </w:rPr>
      </w:pPr>
    </w:p>
    <w:p w:rsidR="00A42039" w:rsidRPr="00F63847" w:rsidRDefault="002F7772" w:rsidP="00A42039">
      <w:pPr>
        <w:rPr>
          <w:rFonts w:ascii="Arial" w:hAnsi="Arial" w:cs="Arial"/>
          <w:sz w:val="24"/>
          <w:szCs w:val="24"/>
          <w:lang w:eastAsia="en-US"/>
        </w:rPr>
      </w:pPr>
      <w:r>
        <w:rPr>
          <w:rFonts w:ascii="Arial" w:hAnsi="Arial" w:cs="Arial"/>
          <w:sz w:val="24"/>
          <w:szCs w:val="24"/>
          <w:lang w:eastAsia="en-US"/>
        </w:rPr>
        <w:t>Öffentliche Tanzunterhaltungen</w:t>
      </w:r>
      <w:r w:rsidR="00A42039" w:rsidRPr="00F63847">
        <w:rPr>
          <w:rFonts w:ascii="Arial" w:hAnsi="Arial" w:cs="Arial"/>
          <w:sz w:val="24"/>
          <w:szCs w:val="24"/>
          <w:lang w:eastAsia="en-US"/>
        </w:rPr>
        <w:t xml:space="preserve"> sind </w:t>
      </w:r>
      <w:r w:rsidR="0078564D">
        <w:rPr>
          <w:rFonts w:ascii="Arial" w:hAnsi="Arial" w:cs="Arial"/>
          <w:sz w:val="24"/>
          <w:szCs w:val="24"/>
          <w:lang w:eastAsia="en-US"/>
        </w:rPr>
        <w:t>gem. § 10 FTG wie folgt</w:t>
      </w:r>
      <w:r w:rsidR="00A42039" w:rsidRPr="00F63847">
        <w:rPr>
          <w:rFonts w:ascii="Arial" w:hAnsi="Arial" w:cs="Arial"/>
          <w:sz w:val="24"/>
          <w:szCs w:val="24"/>
          <w:lang w:eastAsia="en-US"/>
        </w:rPr>
        <w:t xml:space="preserve"> verboten:</w:t>
      </w:r>
    </w:p>
    <w:p w:rsidR="00A42039" w:rsidRPr="00F63847" w:rsidRDefault="0078564D" w:rsidP="00A42039">
      <w:pPr>
        <w:numPr>
          <w:ilvl w:val="0"/>
          <w:numId w:val="2"/>
        </w:numPr>
        <w:overflowPunct/>
        <w:autoSpaceDE/>
        <w:autoSpaceDN/>
        <w:adjustRightInd/>
        <w:ind w:left="284" w:hanging="284"/>
        <w:textAlignment w:val="auto"/>
        <w:rPr>
          <w:rFonts w:ascii="Arial" w:hAnsi="Arial" w:cs="Arial"/>
          <w:sz w:val="24"/>
          <w:szCs w:val="24"/>
          <w:lang w:eastAsia="en-US"/>
        </w:rPr>
      </w:pPr>
      <w:r>
        <w:rPr>
          <w:rFonts w:ascii="Arial" w:hAnsi="Arial" w:cs="Arial"/>
          <w:sz w:val="24"/>
          <w:szCs w:val="24"/>
          <w:lang w:eastAsia="en-US"/>
        </w:rPr>
        <w:t>Gründonnerstag von 18:00 bis 24:00 Uhr</w:t>
      </w:r>
    </w:p>
    <w:p w:rsidR="00A42039" w:rsidRPr="00F63847" w:rsidRDefault="0078564D" w:rsidP="00A42039">
      <w:pPr>
        <w:numPr>
          <w:ilvl w:val="0"/>
          <w:numId w:val="2"/>
        </w:numPr>
        <w:overflowPunct/>
        <w:autoSpaceDE/>
        <w:autoSpaceDN/>
        <w:adjustRightInd/>
        <w:ind w:left="284" w:hanging="284"/>
        <w:textAlignment w:val="auto"/>
        <w:rPr>
          <w:rFonts w:ascii="Arial" w:hAnsi="Arial" w:cs="Arial"/>
          <w:sz w:val="24"/>
          <w:szCs w:val="24"/>
          <w:lang w:eastAsia="en-US"/>
        </w:rPr>
      </w:pPr>
      <w:r>
        <w:rPr>
          <w:rFonts w:ascii="Arial" w:hAnsi="Arial" w:cs="Arial"/>
          <w:sz w:val="24"/>
          <w:szCs w:val="24"/>
          <w:lang w:eastAsia="en-US"/>
        </w:rPr>
        <w:t>Karfreitag ganztägig</w:t>
      </w:r>
    </w:p>
    <w:p w:rsidR="0078564D" w:rsidRDefault="0078564D" w:rsidP="0078564D">
      <w:pPr>
        <w:numPr>
          <w:ilvl w:val="0"/>
          <w:numId w:val="2"/>
        </w:numPr>
        <w:overflowPunct/>
        <w:autoSpaceDE/>
        <w:autoSpaceDN/>
        <w:adjustRightInd/>
        <w:ind w:left="284" w:hanging="284"/>
        <w:textAlignment w:val="auto"/>
        <w:rPr>
          <w:rFonts w:ascii="Arial" w:hAnsi="Arial" w:cs="Arial"/>
          <w:sz w:val="24"/>
          <w:szCs w:val="24"/>
          <w:lang w:eastAsia="en-US"/>
        </w:rPr>
      </w:pPr>
      <w:r>
        <w:rPr>
          <w:rFonts w:ascii="Arial" w:hAnsi="Arial" w:cs="Arial"/>
          <w:sz w:val="24"/>
          <w:szCs w:val="24"/>
          <w:lang w:eastAsia="en-US"/>
        </w:rPr>
        <w:t>Karsamstag von 00:00 bis 20:00 Uhr</w:t>
      </w:r>
    </w:p>
    <w:p w:rsidR="00A42039" w:rsidRDefault="0078564D" w:rsidP="0078564D">
      <w:pPr>
        <w:numPr>
          <w:ilvl w:val="0"/>
          <w:numId w:val="2"/>
        </w:numPr>
        <w:overflowPunct/>
        <w:autoSpaceDE/>
        <w:autoSpaceDN/>
        <w:adjustRightInd/>
        <w:ind w:left="284" w:hanging="284"/>
        <w:textAlignment w:val="auto"/>
        <w:rPr>
          <w:rFonts w:ascii="Arial" w:hAnsi="Arial" w:cs="Arial"/>
          <w:sz w:val="24"/>
          <w:szCs w:val="24"/>
          <w:lang w:eastAsia="en-US"/>
        </w:rPr>
      </w:pPr>
      <w:r w:rsidRPr="0078564D">
        <w:rPr>
          <w:rFonts w:ascii="Arial" w:hAnsi="Arial" w:cs="Arial"/>
          <w:sz w:val="24"/>
          <w:szCs w:val="24"/>
          <w:lang w:eastAsia="en-US"/>
        </w:rPr>
        <w:t>an Allerheiligen, wenn Allerheiligen auf die Wochentage</w:t>
      </w:r>
    </w:p>
    <w:p w:rsidR="0078564D" w:rsidRDefault="0078564D" w:rsidP="0078564D">
      <w:pPr>
        <w:numPr>
          <w:ilvl w:val="1"/>
          <w:numId w:val="2"/>
        </w:numPr>
        <w:overflowPunct/>
        <w:autoSpaceDE/>
        <w:autoSpaceDN/>
        <w:adjustRightInd/>
        <w:textAlignment w:val="auto"/>
        <w:rPr>
          <w:rFonts w:ascii="Arial" w:hAnsi="Arial" w:cs="Arial"/>
          <w:sz w:val="24"/>
          <w:szCs w:val="24"/>
          <w:lang w:eastAsia="en-US"/>
        </w:rPr>
      </w:pPr>
      <w:r>
        <w:rPr>
          <w:rFonts w:ascii="Arial" w:hAnsi="Arial" w:cs="Arial"/>
          <w:sz w:val="24"/>
          <w:szCs w:val="24"/>
          <w:lang w:eastAsia="en-US"/>
        </w:rPr>
        <w:t>Montag bis Freitag fällt, von 03:00 bis 24:00 Uhr</w:t>
      </w:r>
    </w:p>
    <w:p w:rsidR="0078564D" w:rsidRDefault="0078564D" w:rsidP="0078564D">
      <w:pPr>
        <w:numPr>
          <w:ilvl w:val="1"/>
          <w:numId w:val="2"/>
        </w:numPr>
        <w:overflowPunct/>
        <w:autoSpaceDE/>
        <w:autoSpaceDN/>
        <w:adjustRightInd/>
        <w:textAlignment w:val="auto"/>
        <w:rPr>
          <w:rFonts w:ascii="Arial" w:hAnsi="Arial" w:cs="Arial"/>
          <w:sz w:val="24"/>
          <w:szCs w:val="24"/>
          <w:lang w:eastAsia="en-US"/>
        </w:rPr>
      </w:pPr>
      <w:r>
        <w:rPr>
          <w:rFonts w:ascii="Arial" w:hAnsi="Arial" w:cs="Arial"/>
          <w:sz w:val="24"/>
          <w:szCs w:val="24"/>
          <w:lang w:eastAsia="en-US"/>
        </w:rPr>
        <w:t>Samstag oder Sonntag fällt, von 05:00 Uhr bis 24:00 Uhr</w:t>
      </w:r>
    </w:p>
    <w:p w:rsidR="0078564D" w:rsidRDefault="0078564D" w:rsidP="0078564D">
      <w:pPr>
        <w:numPr>
          <w:ilvl w:val="0"/>
          <w:numId w:val="2"/>
        </w:numPr>
        <w:overflowPunct/>
        <w:autoSpaceDE/>
        <w:autoSpaceDN/>
        <w:adjustRightInd/>
        <w:ind w:left="284" w:hanging="284"/>
        <w:textAlignment w:val="auto"/>
        <w:rPr>
          <w:rFonts w:ascii="Arial" w:hAnsi="Arial" w:cs="Arial"/>
          <w:sz w:val="24"/>
          <w:szCs w:val="24"/>
          <w:lang w:eastAsia="en-US"/>
        </w:rPr>
      </w:pPr>
      <w:r>
        <w:rPr>
          <w:rFonts w:ascii="Arial" w:hAnsi="Arial" w:cs="Arial"/>
          <w:sz w:val="24"/>
          <w:szCs w:val="24"/>
          <w:lang w:eastAsia="en-US"/>
        </w:rPr>
        <w:t>Allgemeiner</w:t>
      </w:r>
      <w:r w:rsidRPr="00F63847">
        <w:rPr>
          <w:rFonts w:ascii="Arial" w:hAnsi="Arial" w:cs="Arial"/>
          <w:sz w:val="24"/>
          <w:szCs w:val="24"/>
          <w:lang w:eastAsia="en-US"/>
        </w:rPr>
        <w:t xml:space="preserve"> Buß- und Bettag</w:t>
      </w:r>
      <w:r>
        <w:rPr>
          <w:rFonts w:ascii="Arial" w:hAnsi="Arial" w:cs="Arial"/>
          <w:sz w:val="24"/>
          <w:szCs w:val="24"/>
          <w:lang w:eastAsia="en-US"/>
        </w:rPr>
        <w:t xml:space="preserve"> von 03:00 bis 24:00 Uhr</w:t>
      </w:r>
    </w:p>
    <w:p w:rsidR="0078564D" w:rsidRDefault="0078564D" w:rsidP="0078564D">
      <w:pPr>
        <w:numPr>
          <w:ilvl w:val="0"/>
          <w:numId w:val="2"/>
        </w:numPr>
        <w:overflowPunct/>
        <w:autoSpaceDE/>
        <w:autoSpaceDN/>
        <w:adjustRightInd/>
        <w:ind w:left="284" w:hanging="284"/>
        <w:textAlignment w:val="auto"/>
        <w:rPr>
          <w:rFonts w:ascii="Arial" w:hAnsi="Arial" w:cs="Arial"/>
          <w:sz w:val="24"/>
          <w:szCs w:val="24"/>
          <w:lang w:eastAsia="en-US"/>
        </w:rPr>
      </w:pPr>
      <w:r>
        <w:rPr>
          <w:rFonts w:ascii="Arial" w:hAnsi="Arial" w:cs="Arial"/>
          <w:sz w:val="24"/>
          <w:szCs w:val="24"/>
          <w:lang w:eastAsia="en-US"/>
        </w:rPr>
        <w:t>Volkstrauertag von 05:00 bis 24:00 Uhr</w:t>
      </w:r>
    </w:p>
    <w:p w:rsidR="0078564D" w:rsidRPr="0078564D" w:rsidRDefault="0078564D" w:rsidP="0078564D">
      <w:pPr>
        <w:numPr>
          <w:ilvl w:val="0"/>
          <w:numId w:val="2"/>
        </w:numPr>
        <w:overflowPunct/>
        <w:autoSpaceDE/>
        <w:autoSpaceDN/>
        <w:adjustRightInd/>
        <w:ind w:left="284" w:hanging="284"/>
        <w:textAlignment w:val="auto"/>
        <w:rPr>
          <w:rFonts w:ascii="Arial" w:hAnsi="Arial" w:cs="Arial"/>
          <w:sz w:val="24"/>
          <w:szCs w:val="24"/>
          <w:lang w:eastAsia="en-US"/>
        </w:rPr>
      </w:pPr>
      <w:r>
        <w:rPr>
          <w:rFonts w:ascii="Arial" w:hAnsi="Arial" w:cs="Arial"/>
          <w:sz w:val="24"/>
          <w:szCs w:val="24"/>
          <w:lang w:eastAsia="en-US"/>
        </w:rPr>
        <w:t>Totengedenktag von 05:00 bis 24:00 Uhr</w:t>
      </w:r>
    </w:p>
    <w:p w:rsidR="00A42039" w:rsidRPr="00F63847" w:rsidRDefault="00A42039" w:rsidP="00A42039">
      <w:pPr>
        <w:rPr>
          <w:rFonts w:ascii="Arial" w:hAnsi="Arial" w:cs="Arial"/>
          <w:sz w:val="24"/>
          <w:szCs w:val="24"/>
          <w:lang w:eastAsia="en-US"/>
        </w:rPr>
      </w:pPr>
    </w:p>
    <w:p w:rsidR="00291FA4" w:rsidRDefault="00291FA4" w:rsidP="00A42039">
      <w:pPr>
        <w:rPr>
          <w:rFonts w:ascii="Arial" w:hAnsi="Arial" w:cs="Arial"/>
          <w:sz w:val="24"/>
          <w:szCs w:val="24"/>
          <w:lang w:eastAsia="en-US"/>
        </w:rPr>
      </w:pPr>
    </w:p>
    <w:p w:rsidR="00A42039" w:rsidRPr="00F63847" w:rsidRDefault="00A42039" w:rsidP="00A42039">
      <w:pPr>
        <w:rPr>
          <w:rFonts w:ascii="Arial" w:hAnsi="Arial" w:cs="Arial"/>
          <w:color w:val="000000"/>
          <w:sz w:val="24"/>
          <w:szCs w:val="24"/>
          <w:lang w:eastAsia="en-US"/>
        </w:rPr>
      </w:pPr>
      <w:r w:rsidRPr="00F63847">
        <w:rPr>
          <w:rFonts w:ascii="Arial" w:hAnsi="Arial" w:cs="Arial"/>
          <w:sz w:val="24"/>
          <w:szCs w:val="24"/>
          <w:lang w:eastAsia="en-US"/>
        </w:rPr>
        <w:t>*) =</w:t>
      </w:r>
      <w:r w:rsidRPr="00F63847">
        <w:rPr>
          <w:rFonts w:ascii="Arial" w:hAnsi="Arial" w:cs="Arial"/>
          <w:sz w:val="24"/>
          <w:szCs w:val="24"/>
          <w:lang w:eastAsia="en-US"/>
        </w:rPr>
        <w:tab/>
      </w:r>
      <w:r w:rsidRPr="00F63847">
        <w:rPr>
          <w:rFonts w:ascii="Arial" w:hAnsi="Arial" w:cs="Arial"/>
          <w:color w:val="000000"/>
          <w:sz w:val="24"/>
          <w:szCs w:val="24"/>
          <w:lang w:eastAsia="en-US"/>
        </w:rPr>
        <w:t>Die Zeit des Hauptgottesdienstes wird von der Ortspolizeibehörde nach Anhörung der Pfarrämter bekannt gemacht.</w:t>
      </w:r>
    </w:p>
    <w:p w:rsidR="00A42039" w:rsidRPr="00F63847" w:rsidRDefault="00A42039" w:rsidP="00A42039">
      <w:pPr>
        <w:rPr>
          <w:rFonts w:ascii="Arial" w:hAnsi="Arial" w:cs="Arial"/>
          <w:sz w:val="24"/>
          <w:szCs w:val="24"/>
          <w:lang w:eastAsia="en-US"/>
        </w:rPr>
      </w:pPr>
    </w:p>
    <w:p w:rsidR="00A42039" w:rsidRPr="00F63847" w:rsidRDefault="00A42039" w:rsidP="00A42039">
      <w:pPr>
        <w:rPr>
          <w:rFonts w:ascii="Arial" w:hAnsi="Arial" w:cs="Arial"/>
          <w:b/>
          <w:bCs/>
          <w:sz w:val="24"/>
          <w:szCs w:val="24"/>
          <w:lang w:eastAsia="en-US"/>
        </w:rPr>
      </w:pPr>
      <w:r w:rsidRPr="00F63847">
        <w:rPr>
          <w:rFonts w:ascii="Arial" w:hAnsi="Arial" w:cs="Arial"/>
          <w:b/>
          <w:bCs/>
          <w:sz w:val="24"/>
          <w:szCs w:val="24"/>
          <w:lang w:eastAsia="en-US"/>
        </w:rPr>
        <w:t>c) Benutzung öffentlicher Gebäude oder öffentlicher Flächen</w:t>
      </w:r>
    </w:p>
    <w:p w:rsidR="00A42039" w:rsidRPr="00F63847" w:rsidRDefault="00A42039" w:rsidP="00A42039">
      <w:pPr>
        <w:rPr>
          <w:rFonts w:ascii="Arial" w:hAnsi="Arial" w:cs="Arial"/>
          <w:sz w:val="24"/>
          <w:szCs w:val="24"/>
          <w:lang w:eastAsia="en-US"/>
        </w:rPr>
      </w:pPr>
      <w:r w:rsidRPr="00F63847">
        <w:rPr>
          <w:rFonts w:ascii="Arial" w:hAnsi="Arial" w:cs="Arial"/>
          <w:sz w:val="24"/>
          <w:szCs w:val="24"/>
          <w:lang w:eastAsia="en-US"/>
        </w:rPr>
        <w:t>Soweit öffentliche Gebäude oder Flächen benutzt werden, sind die jeweils geltenden Vertragsbedingungen und Benutzungsordnungen zu beachten.</w:t>
      </w:r>
    </w:p>
    <w:p w:rsidR="00A42039" w:rsidRPr="00F63847" w:rsidRDefault="00A42039" w:rsidP="00A42039">
      <w:pPr>
        <w:rPr>
          <w:rFonts w:ascii="Arial" w:hAnsi="Arial" w:cs="Arial"/>
          <w:b/>
          <w:bCs/>
          <w:sz w:val="24"/>
          <w:szCs w:val="24"/>
          <w:u w:val="single"/>
          <w:lang w:eastAsia="en-US"/>
        </w:rPr>
      </w:pPr>
    </w:p>
    <w:p w:rsidR="00A42039" w:rsidRPr="00F63847" w:rsidRDefault="00A42039" w:rsidP="00A42039">
      <w:pPr>
        <w:rPr>
          <w:rFonts w:ascii="Arial" w:hAnsi="Arial" w:cs="Arial"/>
          <w:sz w:val="24"/>
          <w:szCs w:val="24"/>
          <w:lang w:eastAsia="en-US"/>
        </w:rPr>
      </w:pPr>
      <w:r w:rsidRPr="00F63847">
        <w:rPr>
          <w:rFonts w:ascii="Arial" w:hAnsi="Arial" w:cs="Arial"/>
          <w:b/>
          <w:bCs/>
          <w:sz w:val="24"/>
          <w:szCs w:val="24"/>
          <w:u w:val="single"/>
          <w:lang w:eastAsia="en-US"/>
        </w:rPr>
        <w:t>B.  Jugendschutzrechtliche Vorschriften</w:t>
      </w:r>
      <w:r w:rsidRPr="00F63847">
        <w:rPr>
          <w:rFonts w:ascii="Arial" w:hAnsi="Arial" w:cs="Arial"/>
          <w:b/>
          <w:bCs/>
          <w:sz w:val="24"/>
          <w:szCs w:val="24"/>
          <w:u w:val="single"/>
          <w:lang w:eastAsia="en-US"/>
        </w:rPr>
        <w:br/>
      </w:r>
      <w:r w:rsidRPr="00F63847">
        <w:rPr>
          <w:rFonts w:ascii="Arial" w:hAnsi="Arial" w:cs="Arial"/>
          <w:sz w:val="24"/>
          <w:szCs w:val="24"/>
          <w:lang w:eastAsia="en-US"/>
        </w:rPr>
        <w:br/>
        <w:t>Nach dem Jugendschutzgesetz (JuSchG) sind</w:t>
      </w:r>
      <w:r w:rsidRPr="00F63847">
        <w:rPr>
          <w:rFonts w:ascii="Arial" w:hAnsi="Arial" w:cs="Arial"/>
          <w:sz w:val="24"/>
          <w:szCs w:val="24"/>
          <w:lang w:eastAsia="en-US"/>
        </w:rPr>
        <w:br/>
        <w:t xml:space="preserve">a) </w:t>
      </w:r>
      <w:r w:rsidRPr="00F63847">
        <w:rPr>
          <w:rFonts w:ascii="Arial" w:hAnsi="Arial" w:cs="Arial"/>
          <w:b/>
          <w:bCs/>
          <w:sz w:val="24"/>
          <w:szCs w:val="24"/>
          <w:lang w:eastAsia="en-US"/>
        </w:rPr>
        <w:t>Kinder</w:t>
      </w:r>
      <w:r w:rsidRPr="00F63847">
        <w:rPr>
          <w:rFonts w:ascii="Arial" w:hAnsi="Arial" w:cs="Arial"/>
          <w:sz w:val="24"/>
          <w:szCs w:val="24"/>
          <w:lang w:eastAsia="en-US"/>
        </w:rPr>
        <w:t xml:space="preserve"> Personen, die noch nicht 14 Jahre alt sind und</w:t>
      </w:r>
      <w:r w:rsidRPr="00F63847">
        <w:rPr>
          <w:rFonts w:ascii="Arial" w:hAnsi="Arial" w:cs="Arial"/>
          <w:sz w:val="24"/>
          <w:szCs w:val="24"/>
          <w:lang w:eastAsia="en-US"/>
        </w:rPr>
        <w:br/>
        <w:t xml:space="preserve">b) </w:t>
      </w:r>
      <w:r w:rsidRPr="00F63847">
        <w:rPr>
          <w:rFonts w:ascii="Arial" w:hAnsi="Arial" w:cs="Arial"/>
          <w:b/>
          <w:bCs/>
          <w:sz w:val="24"/>
          <w:szCs w:val="24"/>
          <w:lang w:eastAsia="en-US"/>
        </w:rPr>
        <w:t>Jugendliche</w:t>
      </w:r>
      <w:r w:rsidRPr="00F63847">
        <w:rPr>
          <w:rFonts w:ascii="Arial" w:hAnsi="Arial" w:cs="Arial"/>
          <w:sz w:val="24"/>
          <w:szCs w:val="24"/>
          <w:lang w:eastAsia="en-US"/>
        </w:rPr>
        <w:t>, die 14 aber noch nicht 18 Jahre alt sind.</w:t>
      </w:r>
      <w:r w:rsidRPr="00F63847">
        <w:rPr>
          <w:rFonts w:ascii="Arial" w:hAnsi="Arial" w:cs="Arial"/>
          <w:sz w:val="24"/>
          <w:szCs w:val="24"/>
          <w:lang w:eastAsia="en-US"/>
        </w:rPr>
        <w:br/>
      </w:r>
      <w:r w:rsidRPr="00F63847">
        <w:rPr>
          <w:rFonts w:ascii="Arial" w:hAnsi="Arial" w:cs="Arial"/>
          <w:sz w:val="24"/>
          <w:szCs w:val="24"/>
          <w:lang w:eastAsia="en-US"/>
        </w:rPr>
        <w:br/>
        <w:t>Insbeson</w:t>
      </w:r>
      <w:r w:rsidR="005C1438">
        <w:rPr>
          <w:rFonts w:ascii="Arial" w:hAnsi="Arial" w:cs="Arial"/>
          <w:sz w:val="24"/>
          <w:szCs w:val="24"/>
          <w:lang w:eastAsia="en-US"/>
        </w:rPr>
        <w:t>dere ist darauf zu achten, dass</w:t>
      </w:r>
    </w:p>
    <w:p w:rsidR="00A42039" w:rsidRPr="00F63847" w:rsidRDefault="00A42039" w:rsidP="00A42039">
      <w:pPr>
        <w:numPr>
          <w:ilvl w:val="0"/>
          <w:numId w:val="3"/>
        </w:numPr>
        <w:overflowPunct/>
        <w:autoSpaceDE/>
        <w:autoSpaceDN/>
        <w:adjustRightInd/>
        <w:spacing w:before="120"/>
        <w:ind w:left="709" w:hanging="284"/>
        <w:textAlignment w:val="auto"/>
        <w:rPr>
          <w:rFonts w:ascii="Arial" w:hAnsi="Arial" w:cs="Arial"/>
          <w:sz w:val="24"/>
          <w:szCs w:val="24"/>
          <w:lang w:eastAsia="en-US"/>
        </w:rPr>
      </w:pPr>
      <w:r w:rsidRPr="00F63847">
        <w:rPr>
          <w:rFonts w:ascii="Arial" w:hAnsi="Arial" w:cs="Arial"/>
          <w:b/>
          <w:bCs/>
          <w:sz w:val="24"/>
          <w:szCs w:val="24"/>
          <w:lang w:eastAsia="en-US"/>
        </w:rPr>
        <w:t>Kindern und Jugendlichen unter 16 Jahren</w:t>
      </w:r>
      <w:r w:rsidRPr="00F63847">
        <w:rPr>
          <w:rFonts w:ascii="Arial" w:hAnsi="Arial" w:cs="Arial"/>
          <w:sz w:val="24"/>
          <w:szCs w:val="24"/>
          <w:lang w:eastAsia="en-US"/>
        </w:rPr>
        <w:t xml:space="preserve"> der Aufenthalt bei Veranstaltungen, die der gaststättenrechtlichen Erlaubnis (Gestattung) bedürfen, verboten ist, es sei denn, sie sind in Begleitung einer personensorgeberechtigten oder erziehungsbeauftragten Person.</w:t>
      </w:r>
    </w:p>
    <w:p w:rsidR="00A42039" w:rsidRPr="00F63847" w:rsidRDefault="00A42039" w:rsidP="00A42039">
      <w:pPr>
        <w:numPr>
          <w:ilvl w:val="0"/>
          <w:numId w:val="3"/>
        </w:numPr>
        <w:overflowPunct/>
        <w:autoSpaceDE/>
        <w:autoSpaceDN/>
        <w:adjustRightInd/>
        <w:spacing w:before="120"/>
        <w:ind w:left="709" w:hanging="284"/>
        <w:textAlignment w:val="auto"/>
        <w:rPr>
          <w:rFonts w:ascii="Arial" w:hAnsi="Arial" w:cs="Arial"/>
          <w:b/>
          <w:bCs/>
          <w:sz w:val="24"/>
          <w:szCs w:val="24"/>
          <w:u w:val="single"/>
          <w:lang w:eastAsia="en-US"/>
        </w:rPr>
      </w:pPr>
      <w:r w:rsidRPr="00F63847">
        <w:rPr>
          <w:rFonts w:ascii="Arial" w:hAnsi="Arial" w:cs="Arial"/>
          <w:sz w:val="24"/>
          <w:szCs w:val="24"/>
          <w:lang w:eastAsia="en-US"/>
        </w:rPr>
        <w:tab/>
      </w:r>
      <w:r w:rsidRPr="00F63847">
        <w:rPr>
          <w:rFonts w:ascii="Arial" w:hAnsi="Arial" w:cs="Arial"/>
          <w:b/>
          <w:bCs/>
          <w:sz w:val="24"/>
          <w:szCs w:val="24"/>
          <w:lang w:eastAsia="en-US"/>
        </w:rPr>
        <w:t>Jugendlichen ab 16 Jahren</w:t>
      </w:r>
      <w:r w:rsidRPr="00F63847">
        <w:rPr>
          <w:rFonts w:ascii="Arial" w:hAnsi="Arial" w:cs="Arial"/>
          <w:sz w:val="24"/>
          <w:szCs w:val="24"/>
          <w:lang w:eastAsia="en-US"/>
        </w:rPr>
        <w:t xml:space="preserve"> der Aufenthalt bei Veranstaltungen, die der gaststättenrechtlichen Erlaubnis (Gestattung) bedürfen, ab 24:00 Uhr verboten ist, es sei denn, sie sind in Begleitung einer personensorgeberechtigten oder erziehungsbeauftragten Person.</w:t>
      </w:r>
    </w:p>
    <w:p w:rsidR="00A42039" w:rsidRPr="00F63847" w:rsidRDefault="00A42039" w:rsidP="00A42039">
      <w:pPr>
        <w:numPr>
          <w:ilvl w:val="0"/>
          <w:numId w:val="3"/>
        </w:numPr>
        <w:overflowPunct/>
        <w:autoSpaceDE/>
        <w:autoSpaceDN/>
        <w:adjustRightInd/>
        <w:spacing w:before="120"/>
        <w:ind w:left="709" w:hanging="284"/>
        <w:textAlignment w:val="auto"/>
        <w:rPr>
          <w:rFonts w:ascii="Arial" w:hAnsi="Arial" w:cs="Arial"/>
          <w:b/>
          <w:bCs/>
          <w:sz w:val="24"/>
          <w:szCs w:val="24"/>
          <w:u w:val="single"/>
          <w:lang w:eastAsia="en-US"/>
        </w:rPr>
      </w:pPr>
      <w:r w:rsidRPr="00F63847">
        <w:rPr>
          <w:rFonts w:ascii="Arial" w:hAnsi="Arial" w:cs="Arial"/>
          <w:sz w:val="24"/>
          <w:szCs w:val="24"/>
          <w:lang w:eastAsia="en-US"/>
        </w:rPr>
        <w:tab/>
        <w:t xml:space="preserve">an </w:t>
      </w:r>
      <w:r w:rsidRPr="00F63847">
        <w:rPr>
          <w:rFonts w:ascii="Arial" w:hAnsi="Arial" w:cs="Arial"/>
          <w:b/>
          <w:bCs/>
          <w:sz w:val="24"/>
          <w:szCs w:val="24"/>
          <w:lang w:eastAsia="en-US"/>
        </w:rPr>
        <w:t>Kinder und Jugendliche</w:t>
      </w:r>
      <w:r w:rsidRPr="00F63847">
        <w:rPr>
          <w:rFonts w:ascii="Arial" w:hAnsi="Arial" w:cs="Arial"/>
          <w:sz w:val="24"/>
          <w:szCs w:val="24"/>
          <w:lang w:eastAsia="en-US"/>
        </w:rPr>
        <w:t xml:space="preserve"> kein Branntwein, keine branntweinhaltige</w:t>
      </w:r>
      <w:r>
        <w:rPr>
          <w:rFonts w:ascii="Arial" w:hAnsi="Arial" w:cs="Arial"/>
          <w:sz w:val="24"/>
          <w:szCs w:val="24"/>
          <w:lang w:eastAsia="en-US"/>
        </w:rPr>
        <w:t>n</w:t>
      </w:r>
      <w:r w:rsidRPr="00F63847">
        <w:rPr>
          <w:rFonts w:ascii="Arial" w:hAnsi="Arial" w:cs="Arial"/>
          <w:sz w:val="24"/>
          <w:szCs w:val="24"/>
          <w:lang w:eastAsia="en-US"/>
        </w:rPr>
        <w:t xml:space="preserve"> Getränke (wie z. B. Alkopops) oder Lebensmittel, die Branntwein in nicht nur geringfügiger Menge enthalten, abgegeben werden dürfen. Auch der Verzehr solcher Getränke und Lebensmittel ist für diesen Personenkreis in der Gaststätte verboten.</w:t>
      </w:r>
    </w:p>
    <w:p w:rsidR="00A42039" w:rsidRPr="00F63847" w:rsidRDefault="00A42039" w:rsidP="00A42039">
      <w:pPr>
        <w:numPr>
          <w:ilvl w:val="0"/>
          <w:numId w:val="3"/>
        </w:numPr>
        <w:overflowPunct/>
        <w:autoSpaceDE/>
        <w:autoSpaceDN/>
        <w:adjustRightInd/>
        <w:spacing w:before="120"/>
        <w:ind w:left="709" w:hanging="284"/>
        <w:textAlignment w:val="auto"/>
        <w:rPr>
          <w:rFonts w:ascii="Arial" w:hAnsi="Arial" w:cs="Arial"/>
          <w:b/>
          <w:bCs/>
          <w:sz w:val="24"/>
          <w:szCs w:val="24"/>
          <w:u w:val="single"/>
          <w:lang w:eastAsia="en-US"/>
        </w:rPr>
      </w:pPr>
      <w:r w:rsidRPr="00F63847">
        <w:rPr>
          <w:rFonts w:ascii="Arial" w:hAnsi="Arial" w:cs="Arial"/>
          <w:sz w:val="24"/>
          <w:szCs w:val="24"/>
          <w:lang w:eastAsia="en-US"/>
        </w:rPr>
        <w:tab/>
        <w:t xml:space="preserve">an </w:t>
      </w:r>
      <w:r w:rsidRPr="00F63847">
        <w:rPr>
          <w:rFonts w:ascii="Arial" w:hAnsi="Arial" w:cs="Arial"/>
          <w:b/>
          <w:bCs/>
          <w:sz w:val="24"/>
          <w:szCs w:val="24"/>
          <w:lang w:eastAsia="en-US"/>
        </w:rPr>
        <w:t>Kinder und Jugendliche unter 16 Jahren</w:t>
      </w:r>
      <w:r w:rsidRPr="00F63847">
        <w:rPr>
          <w:rFonts w:ascii="Arial" w:hAnsi="Arial" w:cs="Arial"/>
          <w:sz w:val="24"/>
          <w:szCs w:val="24"/>
          <w:lang w:eastAsia="en-US"/>
        </w:rPr>
        <w:t xml:space="preserve"> auch keine anderen alkoholischen Getränke abgegeben werden dürfen oder der Verzehr solcher Getränke in der Gaststätte gestattet werden darf, es sei denn, sie sind in Begleitung einer personensorgeberechtigten Person.</w:t>
      </w:r>
      <w:r w:rsidRPr="00F63847">
        <w:rPr>
          <w:rFonts w:ascii="Arial" w:hAnsi="Arial" w:cs="Arial"/>
          <w:sz w:val="24"/>
          <w:szCs w:val="24"/>
          <w:lang w:eastAsia="en-US"/>
        </w:rPr>
        <w:br/>
      </w:r>
    </w:p>
    <w:p w:rsidR="00A42039" w:rsidRPr="00F63847" w:rsidRDefault="00A42039" w:rsidP="00A42039">
      <w:pPr>
        <w:rPr>
          <w:rFonts w:ascii="Arial" w:hAnsi="Arial" w:cs="Arial"/>
          <w:b/>
          <w:bCs/>
          <w:sz w:val="24"/>
          <w:szCs w:val="24"/>
          <w:u w:val="single"/>
          <w:lang w:eastAsia="en-US"/>
        </w:rPr>
      </w:pPr>
      <w:r w:rsidRPr="00F63847">
        <w:rPr>
          <w:rFonts w:ascii="Arial" w:hAnsi="Arial" w:cs="Arial"/>
          <w:b/>
          <w:bCs/>
          <w:sz w:val="24"/>
          <w:szCs w:val="24"/>
          <w:u w:val="single"/>
          <w:lang w:eastAsia="en-US"/>
        </w:rPr>
        <w:t>C.  Nichtraucherschutz</w:t>
      </w:r>
    </w:p>
    <w:p w:rsidR="00A42039" w:rsidRPr="00F63847" w:rsidRDefault="00A42039" w:rsidP="00A42039">
      <w:pPr>
        <w:rPr>
          <w:rFonts w:ascii="Arial" w:hAnsi="Arial" w:cs="Arial"/>
          <w:sz w:val="24"/>
          <w:szCs w:val="24"/>
          <w:lang w:eastAsia="en-US"/>
        </w:rPr>
      </w:pPr>
    </w:p>
    <w:p w:rsidR="00C466C2" w:rsidRDefault="00A42039" w:rsidP="00C466C2">
      <w:pPr>
        <w:numPr>
          <w:ilvl w:val="0"/>
          <w:numId w:val="4"/>
        </w:numPr>
        <w:overflowPunct/>
        <w:autoSpaceDE/>
        <w:autoSpaceDN/>
        <w:adjustRightInd/>
        <w:ind w:left="426" w:hanging="426"/>
        <w:textAlignment w:val="auto"/>
        <w:rPr>
          <w:rFonts w:ascii="Arial" w:hAnsi="Arial" w:cs="Arial"/>
          <w:sz w:val="24"/>
          <w:szCs w:val="24"/>
          <w:lang w:eastAsia="en-US"/>
        </w:rPr>
      </w:pPr>
      <w:r w:rsidRPr="00C466C2">
        <w:rPr>
          <w:rFonts w:ascii="Arial" w:hAnsi="Arial" w:cs="Arial"/>
          <w:b/>
          <w:bCs/>
          <w:color w:val="000000"/>
          <w:sz w:val="24"/>
          <w:szCs w:val="24"/>
          <w:lang w:eastAsia="en-US"/>
        </w:rPr>
        <w:t>des Bundes</w:t>
      </w:r>
      <w:r w:rsidRPr="00C466C2">
        <w:rPr>
          <w:rFonts w:ascii="Arial" w:hAnsi="Arial" w:cs="Arial"/>
          <w:b/>
          <w:bCs/>
          <w:color w:val="000000"/>
          <w:sz w:val="24"/>
          <w:szCs w:val="24"/>
          <w:lang w:eastAsia="en-US"/>
        </w:rPr>
        <w:br/>
      </w:r>
      <w:r w:rsidRPr="00F63847">
        <w:rPr>
          <w:rFonts w:ascii="Arial" w:hAnsi="Arial" w:cs="Arial"/>
          <w:b/>
          <w:bCs/>
          <w:sz w:val="24"/>
          <w:szCs w:val="24"/>
          <w:lang w:eastAsia="en-US"/>
        </w:rPr>
        <w:t>(§ 10 des Jugendschutzgesetzes)</w:t>
      </w:r>
      <w:r w:rsidRPr="00F63847">
        <w:rPr>
          <w:rFonts w:ascii="Arial" w:hAnsi="Arial" w:cs="Arial"/>
          <w:b/>
          <w:bCs/>
          <w:sz w:val="24"/>
          <w:szCs w:val="24"/>
          <w:lang w:eastAsia="en-US"/>
        </w:rPr>
        <w:br/>
      </w:r>
    </w:p>
    <w:p w:rsidR="00A42039" w:rsidRPr="00C466C2" w:rsidRDefault="00C466C2" w:rsidP="00C466C2">
      <w:pPr>
        <w:overflowPunct/>
        <w:autoSpaceDE/>
        <w:autoSpaceDN/>
        <w:adjustRightInd/>
        <w:ind w:left="426"/>
        <w:textAlignment w:val="auto"/>
        <w:rPr>
          <w:rFonts w:ascii="Arial" w:hAnsi="Arial" w:cs="Arial"/>
          <w:sz w:val="24"/>
          <w:szCs w:val="24"/>
          <w:lang w:eastAsia="en-US"/>
        </w:rPr>
      </w:pPr>
      <w:r w:rsidRPr="00C466C2">
        <w:rPr>
          <w:rFonts w:ascii="Arial" w:hAnsi="Arial" w:cs="Arial"/>
          <w:sz w:val="24"/>
          <w:szCs w:val="24"/>
          <w:lang w:eastAsia="en-US"/>
        </w:rPr>
        <w:t>In Gaststätten, Verkaufsstellen oder sonst in der Öffentlichkeit dürfen Tabakwaren und andere nikotinhaltige Erzeugnisse und deren Behältnisse an Kinder oder Jugendliche weder abgegeben noch darf ihnen das Rauchen oder der Konsum nikotinhaltiger Produkte gestattet werden.</w:t>
      </w:r>
      <w:r w:rsidR="00A42039" w:rsidRPr="00C466C2">
        <w:rPr>
          <w:rFonts w:ascii="Arial" w:hAnsi="Arial" w:cs="Arial"/>
          <w:sz w:val="24"/>
          <w:szCs w:val="24"/>
          <w:lang w:eastAsia="en-US"/>
        </w:rPr>
        <w:br/>
      </w:r>
    </w:p>
    <w:p w:rsidR="00A42039" w:rsidRPr="005C1438" w:rsidRDefault="00A42039" w:rsidP="00A42039">
      <w:pPr>
        <w:numPr>
          <w:ilvl w:val="0"/>
          <w:numId w:val="4"/>
        </w:numPr>
        <w:tabs>
          <w:tab w:val="left" w:pos="426"/>
        </w:tabs>
        <w:overflowPunct/>
        <w:autoSpaceDE/>
        <w:autoSpaceDN/>
        <w:adjustRightInd/>
        <w:ind w:left="426" w:hanging="426"/>
        <w:textAlignment w:val="auto"/>
        <w:rPr>
          <w:rFonts w:ascii="Arial" w:hAnsi="Arial" w:cs="Arial"/>
          <w:sz w:val="24"/>
          <w:szCs w:val="24"/>
          <w:lang w:eastAsia="en-US"/>
        </w:rPr>
      </w:pPr>
      <w:r w:rsidRPr="00F63847">
        <w:rPr>
          <w:rFonts w:ascii="Arial" w:hAnsi="Arial" w:cs="Arial"/>
          <w:b/>
          <w:bCs/>
          <w:color w:val="000000"/>
          <w:sz w:val="24"/>
          <w:szCs w:val="24"/>
          <w:lang w:eastAsia="en-US"/>
        </w:rPr>
        <w:t>des Landes Baden-Württemberg</w:t>
      </w:r>
      <w:r w:rsidRPr="00F63847">
        <w:rPr>
          <w:rFonts w:ascii="Arial" w:hAnsi="Arial" w:cs="Arial"/>
          <w:b/>
          <w:bCs/>
          <w:color w:val="000000"/>
          <w:sz w:val="24"/>
          <w:szCs w:val="24"/>
          <w:lang w:eastAsia="en-US"/>
        </w:rPr>
        <w:br/>
        <w:t>(§ 7 Landesnichtraucherschutzgesetz)</w:t>
      </w:r>
      <w:r w:rsidRPr="00F63847">
        <w:rPr>
          <w:rFonts w:ascii="Arial" w:hAnsi="Arial" w:cs="Arial"/>
          <w:color w:val="000000"/>
          <w:sz w:val="24"/>
          <w:szCs w:val="24"/>
          <w:lang w:eastAsia="en-US"/>
        </w:rPr>
        <w:br/>
      </w:r>
      <w:r w:rsidRPr="00F63847">
        <w:rPr>
          <w:rFonts w:ascii="Arial" w:hAnsi="Arial" w:cs="Arial"/>
          <w:color w:val="000000"/>
          <w:sz w:val="24"/>
          <w:szCs w:val="24"/>
          <w:lang w:eastAsia="en-US"/>
        </w:rPr>
        <w:br/>
        <w:t xml:space="preserve">In </w:t>
      </w:r>
      <w:r w:rsidRPr="00F63847">
        <w:rPr>
          <w:rFonts w:ascii="Arial" w:hAnsi="Arial" w:cs="Arial"/>
          <w:b/>
          <w:bCs/>
          <w:color w:val="000000"/>
          <w:sz w:val="24"/>
          <w:szCs w:val="24"/>
          <w:lang w:eastAsia="en-US"/>
        </w:rPr>
        <w:t>Gaststätten</w:t>
      </w:r>
      <w:r w:rsidRPr="00F63847">
        <w:rPr>
          <w:rFonts w:ascii="Arial" w:hAnsi="Arial" w:cs="Arial"/>
          <w:color w:val="000000"/>
          <w:sz w:val="24"/>
          <w:szCs w:val="24"/>
          <w:lang w:eastAsia="en-US"/>
        </w:rPr>
        <w:t xml:space="preserve"> ist das Rauchen untersagt. Gaststätten im Sinne dieses Gesetzes sind Betriebe, die Getränke oder zubereitete Speisen zum Verzehr an Ort und Stelle verabreichen, wenn der Betrieb jedermann oder bestimmten Personen zugänglich ist und den Vorschriften des Gaststättengesetzes unterliegt.</w:t>
      </w:r>
      <w:r w:rsidRPr="00F63847">
        <w:rPr>
          <w:rFonts w:ascii="Arial" w:hAnsi="Arial" w:cs="Arial"/>
          <w:color w:val="000000"/>
          <w:sz w:val="24"/>
          <w:szCs w:val="24"/>
          <w:lang w:eastAsia="en-US"/>
        </w:rPr>
        <w:br/>
      </w:r>
      <w:r w:rsidRPr="00F63847">
        <w:rPr>
          <w:rFonts w:ascii="Arial" w:hAnsi="Arial" w:cs="Arial"/>
          <w:color w:val="000000"/>
          <w:sz w:val="24"/>
          <w:szCs w:val="24"/>
          <w:lang w:eastAsia="en-US"/>
        </w:rPr>
        <w:br/>
        <w:t xml:space="preserve">Dies gilt nicht für </w:t>
      </w:r>
      <w:r w:rsidRPr="00F63847">
        <w:rPr>
          <w:rFonts w:ascii="Arial" w:hAnsi="Arial" w:cs="Arial"/>
          <w:b/>
          <w:bCs/>
          <w:color w:val="000000"/>
          <w:sz w:val="24"/>
          <w:szCs w:val="24"/>
          <w:lang w:eastAsia="en-US"/>
        </w:rPr>
        <w:t>Bier-, Wein- und Festzelte</w:t>
      </w:r>
      <w:r w:rsidRPr="00F63847">
        <w:rPr>
          <w:rFonts w:ascii="Arial" w:hAnsi="Arial" w:cs="Arial"/>
          <w:color w:val="000000"/>
          <w:sz w:val="24"/>
          <w:szCs w:val="24"/>
          <w:lang w:eastAsia="en-US"/>
        </w:rPr>
        <w:t xml:space="preserve"> sowie die Außengastronomie und </w:t>
      </w:r>
      <w:r w:rsidRPr="00F63847">
        <w:rPr>
          <w:rFonts w:ascii="Arial" w:hAnsi="Arial" w:cs="Arial"/>
          <w:color w:val="000000"/>
          <w:sz w:val="24"/>
          <w:szCs w:val="24"/>
          <w:lang w:eastAsia="en-US"/>
        </w:rPr>
        <w:lastRenderedPageBreak/>
        <w:t>die im Reisegewerbe betriebenen Gaststätten.</w:t>
      </w:r>
      <w:r w:rsidRPr="00F63847">
        <w:rPr>
          <w:rFonts w:ascii="Arial" w:hAnsi="Arial" w:cs="Arial"/>
          <w:color w:val="000000"/>
          <w:sz w:val="24"/>
          <w:szCs w:val="24"/>
          <w:lang w:eastAsia="en-US"/>
        </w:rPr>
        <w:br/>
      </w:r>
      <w:bookmarkStart w:id="1" w:name="P7_A2"/>
      <w:bookmarkEnd w:id="1"/>
      <w:r w:rsidRPr="00F63847">
        <w:rPr>
          <w:rFonts w:ascii="Arial" w:hAnsi="Arial" w:cs="Arial"/>
          <w:color w:val="000000"/>
          <w:sz w:val="24"/>
          <w:szCs w:val="24"/>
          <w:lang w:eastAsia="en-US"/>
        </w:rPr>
        <w:br/>
        <w:t xml:space="preserve">Das </w:t>
      </w:r>
      <w:r w:rsidRPr="00F63847">
        <w:rPr>
          <w:rFonts w:ascii="Arial" w:hAnsi="Arial" w:cs="Arial"/>
          <w:b/>
          <w:bCs/>
          <w:color w:val="000000"/>
          <w:sz w:val="24"/>
          <w:szCs w:val="24"/>
          <w:lang w:eastAsia="en-US"/>
        </w:rPr>
        <w:t>Rauchen ist zulässig</w:t>
      </w:r>
      <w:r w:rsidRPr="00F63847">
        <w:rPr>
          <w:rFonts w:ascii="Arial" w:hAnsi="Arial" w:cs="Arial"/>
          <w:b/>
          <w:bCs/>
          <w:color w:val="000000"/>
          <w:sz w:val="24"/>
          <w:szCs w:val="24"/>
          <w:lang w:eastAsia="en-US"/>
        </w:rPr>
        <w:br/>
      </w:r>
      <w:r w:rsidRPr="00F63847">
        <w:rPr>
          <w:rFonts w:ascii="Arial" w:hAnsi="Arial" w:cs="Arial"/>
          <w:color w:val="000000"/>
          <w:sz w:val="24"/>
          <w:szCs w:val="24"/>
          <w:lang w:eastAsia="en-US"/>
        </w:rPr>
        <w:br/>
        <w:t>1.</w:t>
      </w:r>
      <w:r w:rsidRPr="00F63847">
        <w:rPr>
          <w:rFonts w:ascii="Arial" w:hAnsi="Arial" w:cs="Arial"/>
          <w:color w:val="000000"/>
          <w:sz w:val="24"/>
          <w:szCs w:val="24"/>
          <w:lang w:eastAsia="en-US"/>
        </w:rPr>
        <w:tab/>
        <w:t xml:space="preserve">in vollständig abgetrennten </w:t>
      </w:r>
      <w:r w:rsidRPr="00F63847">
        <w:rPr>
          <w:rFonts w:ascii="Arial" w:hAnsi="Arial" w:cs="Arial"/>
          <w:b/>
          <w:bCs/>
          <w:color w:val="000000"/>
          <w:sz w:val="24"/>
          <w:szCs w:val="24"/>
          <w:lang w:eastAsia="en-US"/>
        </w:rPr>
        <w:t>Nebenräumen</w:t>
      </w:r>
      <w:r w:rsidRPr="00F63847">
        <w:rPr>
          <w:rFonts w:ascii="Arial" w:hAnsi="Arial" w:cs="Arial"/>
          <w:color w:val="000000"/>
          <w:sz w:val="24"/>
          <w:szCs w:val="24"/>
          <w:lang w:eastAsia="en-US"/>
        </w:rPr>
        <w:t>, wenn und soweit diese Räume in deutlich erkennbarer Weise als Raucherräume gekennzeichnet sind und die Belange des Nichtraucherschutzes dadurch nicht beeinträchtigt werden,</w:t>
      </w:r>
      <w:r w:rsidRPr="00F63847">
        <w:rPr>
          <w:rFonts w:ascii="Arial" w:hAnsi="Arial" w:cs="Arial"/>
          <w:color w:val="000000"/>
          <w:sz w:val="24"/>
          <w:szCs w:val="24"/>
          <w:lang w:eastAsia="en-US"/>
        </w:rPr>
        <w:br/>
      </w:r>
      <w:r w:rsidRPr="00F63847">
        <w:rPr>
          <w:rFonts w:ascii="Arial" w:hAnsi="Arial" w:cs="Arial"/>
          <w:color w:val="000000"/>
          <w:sz w:val="24"/>
          <w:szCs w:val="24"/>
          <w:lang w:eastAsia="en-US"/>
        </w:rPr>
        <w:br/>
        <w:t>2.</w:t>
      </w:r>
      <w:r w:rsidRPr="00F63847">
        <w:rPr>
          <w:rFonts w:ascii="Arial" w:hAnsi="Arial" w:cs="Arial"/>
          <w:color w:val="000000"/>
          <w:sz w:val="24"/>
          <w:szCs w:val="24"/>
          <w:lang w:eastAsia="en-US"/>
        </w:rPr>
        <w:tab/>
        <w:t xml:space="preserve">in </w:t>
      </w:r>
      <w:r w:rsidRPr="00F63847">
        <w:rPr>
          <w:rFonts w:ascii="Arial" w:hAnsi="Arial" w:cs="Arial"/>
          <w:b/>
          <w:bCs/>
          <w:color w:val="000000"/>
          <w:sz w:val="24"/>
          <w:szCs w:val="24"/>
          <w:lang w:eastAsia="en-US"/>
        </w:rPr>
        <w:t>Gaststätten mit weniger als 75 Quadratmetern</w:t>
      </w:r>
      <w:r w:rsidRPr="00F63847">
        <w:rPr>
          <w:rFonts w:ascii="Arial" w:hAnsi="Arial" w:cs="Arial"/>
          <w:color w:val="000000"/>
          <w:sz w:val="24"/>
          <w:szCs w:val="24"/>
          <w:lang w:eastAsia="en-US"/>
        </w:rPr>
        <w:t xml:space="preserve"> Gastfläche und ohne abgetrennten Nebenraum, wenn keine oder lediglich kalte Speisen einfacher Art zum Verzehr an Ort und Stelle verabreicht werden, Personen mit nicht vollendetem 18.Lebensjahr der Zutritt verwehrt wird und die Gaststätten am Eingangsbereich in deutlich erkennbarer Weise als Rauchergaststätten, zu denen Personen mit nicht vollendetem 18. Lebensjahr keinen Zutritt haben, gekennzeichnet sind.</w:t>
      </w:r>
      <w:r w:rsidRPr="00F63847">
        <w:rPr>
          <w:rFonts w:ascii="Arial" w:hAnsi="Arial" w:cs="Arial"/>
          <w:color w:val="000000"/>
          <w:sz w:val="24"/>
          <w:szCs w:val="24"/>
          <w:lang w:eastAsia="en-US"/>
        </w:rPr>
        <w:br/>
      </w:r>
      <w:bookmarkStart w:id="2" w:name="P7_A3"/>
      <w:bookmarkEnd w:id="2"/>
      <w:r w:rsidRPr="00F63847">
        <w:rPr>
          <w:rFonts w:ascii="Arial" w:hAnsi="Arial" w:cs="Arial"/>
          <w:color w:val="000000"/>
          <w:sz w:val="24"/>
          <w:szCs w:val="24"/>
          <w:lang w:eastAsia="en-US"/>
        </w:rPr>
        <w:br/>
        <w:t xml:space="preserve">In </w:t>
      </w:r>
      <w:r w:rsidRPr="00F63847">
        <w:rPr>
          <w:rFonts w:ascii="Arial" w:hAnsi="Arial" w:cs="Arial"/>
          <w:b/>
          <w:bCs/>
          <w:color w:val="000000"/>
          <w:sz w:val="24"/>
          <w:szCs w:val="24"/>
          <w:lang w:eastAsia="en-US"/>
        </w:rPr>
        <w:t>Diskotheken</w:t>
      </w:r>
      <w:r w:rsidRPr="00F63847">
        <w:rPr>
          <w:rFonts w:ascii="Arial" w:hAnsi="Arial" w:cs="Arial"/>
          <w:color w:val="000000"/>
          <w:sz w:val="24"/>
          <w:szCs w:val="24"/>
          <w:lang w:eastAsia="en-US"/>
        </w:rPr>
        <w:t xml:space="preserve"> ist das Rauchen </w:t>
      </w:r>
      <w:r w:rsidRPr="00F63847">
        <w:rPr>
          <w:rFonts w:ascii="Arial" w:hAnsi="Arial" w:cs="Arial"/>
          <w:b/>
          <w:bCs/>
          <w:color w:val="000000"/>
          <w:sz w:val="24"/>
          <w:szCs w:val="24"/>
          <w:lang w:eastAsia="en-US"/>
        </w:rPr>
        <w:t>nur in vollständig abgetrennten Nebenräumen ohne Tanzfläche zulässig</w:t>
      </w:r>
      <w:r w:rsidRPr="00F63847">
        <w:rPr>
          <w:rFonts w:ascii="Arial" w:hAnsi="Arial" w:cs="Arial"/>
          <w:color w:val="000000"/>
          <w:sz w:val="24"/>
          <w:szCs w:val="24"/>
          <w:lang w:eastAsia="en-US"/>
        </w:rPr>
        <w:t>, wenn der Zutritt zur Diskothek auf Personen ab vollendetem 18.Lebensjahr beschränkt ist und die Nebenräume in deutlich erkennbarer Weise als Raucherräume gekennzeichnet sind.</w:t>
      </w:r>
    </w:p>
    <w:p w:rsidR="00A42039" w:rsidRPr="00F63847" w:rsidRDefault="00A42039" w:rsidP="00A42039">
      <w:pPr>
        <w:rPr>
          <w:rFonts w:ascii="Arial" w:hAnsi="Arial" w:cs="Arial"/>
          <w:sz w:val="24"/>
          <w:szCs w:val="24"/>
        </w:rPr>
      </w:pPr>
    </w:p>
    <w:p w:rsidR="0020491E" w:rsidRPr="0020491E" w:rsidRDefault="0020491E" w:rsidP="0020491E">
      <w:pPr>
        <w:overflowPunct/>
        <w:ind w:left="426" w:hanging="426"/>
        <w:textAlignment w:val="auto"/>
        <w:rPr>
          <w:rFonts w:ascii="Arial" w:eastAsiaTheme="minorHAnsi" w:hAnsi="Arial" w:cs="Arial"/>
          <w:b/>
          <w:bCs/>
          <w:color w:val="000000"/>
          <w:sz w:val="24"/>
          <w:szCs w:val="24"/>
          <w:lang w:eastAsia="en-US"/>
        </w:rPr>
      </w:pPr>
      <w:r w:rsidRPr="0020491E">
        <w:rPr>
          <w:rFonts w:ascii="Arial" w:eastAsiaTheme="minorHAnsi" w:hAnsi="Arial" w:cs="Arial"/>
          <w:b/>
          <w:bCs/>
          <w:color w:val="000000"/>
          <w:sz w:val="24"/>
          <w:szCs w:val="24"/>
          <w:lang w:eastAsia="en-US"/>
        </w:rPr>
        <w:t>D. Berechnung der höchst zulässigen Zahl der Besucher</w:t>
      </w:r>
    </w:p>
    <w:p w:rsidR="0020491E" w:rsidRPr="0020491E" w:rsidRDefault="0020491E" w:rsidP="0020491E">
      <w:pPr>
        <w:overflowPunct/>
        <w:ind w:left="426" w:hanging="426"/>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Sofern kein Belegungsplan vorhanden ist, ist die Höchstzahl der Veranstaltungsbesucher zu ermitteln.</w:t>
      </w:r>
    </w:p>
    <w:p w:rsidR="00B40716" w:rsidRDefault="00B40716" w:rsidP="0020491E">
      <w:pPr>
        <w:overflowPunct/>
        <w:ind w:left="426"/>
        <w:textAlignment w:val="auto"/>
        <w:rPr>
          <w:rFonts w:ascii="Arial" w:eastAsiaTheme="minorHAnsi" w:hAnsi="Arial" w:cs="Arial"/>
          <w:color w:val="000000"/>
          <w:sz w:val="24"/>
          <w:szCs w:val="24"/>
          <w:lang w:eastAsia="en-US"/>
        </w:rPr>
      </w:pPr>
    </w:p>
    <w:p w:rsid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Maßgebend ist dabei:</w:t>
      </w:r>
    </w:p>
    <w:p w:rsidR="0020491E" w:rsidRPr="0020491E" w:rsidRDefault="0020491E" w:rsidP="0020491E">
      <w:pPr>
        <w:overflowPunct/>
        <w:ind w:left="426"/>
        <w:textAlignment w:val="auto"/>
        <w:rPr>
          <w:rFonts w:ascii="Arial" w:eastAsiaTheme="minorHAnsi" w:hAnsi="Arial" w:cs="Arial"/>
          <w:color w:val="000000"/>
          <w:sz w:val="24"/>
          <w:szCs w:val="24"/>
          <w:lang w:eastAsia="en-US"/>
        </w:rPr>
      </w:pP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 xml:space="preserve">a) </w:t>
      </w:r>
      <w:r>
        <w:rPr>
          <w:rFonts w:ascii="Arial" w:eastAsiaTheme="minorHAnsi" w:hAnsi="Arial" w:cs="Arial"/>
          <w:color w:val="000000"/>
          <w:sz w:val="24"/>
          <w:szCs w:val="24"/>
          <w:lang w:eastAsia="en-US"/>
        </w:rPr>
        <w:tab/>
      </w:r>
      <w:r w:rsidRPr="0020491E">
        <w:rPr>
          <w:rFonts w:ascii="Arial" w:eastAsiaTheme="minorHAnsi" w:hAnsi="Arial" w:cs="Arial"/>
          <w:color w:val="000000"/>
          <w:sz w:val="24"/>
          <w:szCs w:val="24"/>
          <w:lang w:eastAsia="en-US"/>
        </w:rPr>
        <w:t>die für die Veranstaltungsbesucher zur Verfügung stehende Grundfläche und</w:t>
      </w: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 xml:space="preserve">b) </w:t>
      </w:r>
      <w:r>
        <w:rPr>
          <w:rFonts w:ascii="Arial" w:eastAsiaTheme="minorHAnsi" w:hAnsi="Arial" w:cs="Arial"/>
          <w:color w:val="000000"/>
          <w:sz w:val="24"/>
          <w:szCs w:val="24"/>
          <w:lang w:eastAsia="en-US"/>
        </w:rPr>
        <w:tab/>
      </w:r>
      <w:r w:rsidRPr="0020491E">
        <w:rPr>
          <w:rFonts w:ascii="Arial" w:eastAsiaTheme="minorHAnsi" w:hAnsi="Arial" w:cs="Arial"/>
          <w:color w:val="000000"/>
          <w:sz w:val="24"/>
          <w:szCs w:val="24"/>
          <w:lang w:eastAsia="en-US"/>
        </w:rPr>
        <w:t xml:space="preserve">die Breite der zur Verfügung stehenden Rettungswege (lichtes Maß der </w:t>
      </w:r>
      <w:r>
        <w:rPr>
          <w:rFonts w:ascii="Arial" w:eastAsiaTheme="minorHAnsi" w:hAnsi="Arial" w:cs="Arial"/>
          <w:color w:val="000000"/>
          <w:sz w:val="24"/>
          <w:szCs w:val="24"/>
          <w:lang w:eastAsia="en-US"/>
        </w:rPr>
        <w:t>´T</w:t>
      </w:r>
      <w:r w:rsidRPr="0020491E">
        <w:rPr>
          <w:rFonts w:ascii="Arial" w:eastAsiaTheme="minorHAnsi" w:hAnsi="Arial" w:cs="Arial"/>
          <w:color w:val="000000"/>
          <w:sz w:val="24"/>
          <w:szCs w:val="24"/>
          <w:lang w:eastAsia="en-US"/>
        </w:rPr>
        <w:t>ürbreiten).</w:t>
      </w:r>
    </w:p>
    <w:p w:rsid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Bei der Ermittlung der Grundfläche sind Nebenräume (Flure, Toiletten usw.) nicht zu berücksichtigen.</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Flächen hinter Theken, Bühnenräume, zu denen Veranstaltungsbesucher keinen Zugang haben oder</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Bereiche in den aus</w:t>
      </w:r>
      <w:r>
        <w:rPr>
          <w:rFonts w:ascii="Arial" w:eastAsiaTheme="minorHAnsi" w:hAnsi="Arial" w:cs="Arial"/>
          <w:color w:val="000000"/>
          <w:sz w:val="24"/>
          <w:szCs w:val="24"/>
          <w:lang w:eastAsia="en-US"/>
        </w:rPr>
        <w:t>-</w:t>
      </w:r>
      <w:r w:rsidRPr="0020491E">
        <w:rPr>
          <w:rFonts w:ascii="Arial" w:eastAsiaTheme="minorHAnsi" w:hAnsi="Arial" w:cs="Arial"/>
          <w:color w:val="000000"/>
          <w:sz w:val="24"/>
          <w:szCs w:val="24"/>
          <w:lang w:eastAsia="en-US"/>
        </w:rPr>
        <w:t>schließlich DJs tätig sind, entfallen bei der Ermittlung der Grundfläche ebenfalls.</w:t>
      </w:r>
    </w:p>
    <w:p w:rsidR="005C1438" w:rsidRPr="0020491E" w:rsidRDefault="005C1438" w:rsidP="0020491E">
      <w:pPr>
        <w:overflowPunct/>
        <w:ind w:left="426"/>
        <w:textAlignment w:val="auto"/>
        <w:rPr>
          <w:rFonts w:ascii="Arial" w:eastAsiaTheme="minorHAnsi" w:hAnsi="Arial" w:cs="Arial"/>
          <w:color w:val="000000"/>
          <w:sz w:val="24"/>
          <w:szCs w:val="24"/>
          <w:lang w:eastAsia="en-US"/>
        </w:rPr>
      </w:pP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Die Höchstzahl der Besucher aufgrund der Grundfläche ist wie folgt zu ermitteln:</w:t>
      </w:r>
    </w:p>
    <w:p w:rsidR="0020491E" w:rsidRDefault="0020491E" w:rsidP="0020491E">
      <w:pPr>
        <w:overflowPunct/>
        <w:ind w:left="426"/>
        <w:textAlignment w:val="auto"/>
        <w:rPr>
          <w:rFonts w:ascii="Arial" w:eastAsiaTheme="minorHAnsi" w:hAnsi="Arial" w:cs="Arial"/>
          <w:i/>
          <w:iCs/>
          <w:color w:val="000000"/>
          <w:sz w:val="24"/>
          <w:szCs w:val="24"/>
          <w:lang w:eastAsia="en-US"/>
        </w:rPr>
      </w:pPr>
      <w:r w:rsidRPr="0020491E">
        <w:rPr>
          <w:rFonts w:ascii="Arial" w:eastAsiaTheme="minorHAnsi" w:hAnsi="Arial" w:cs="Arial"/>
          <w:i/>
          <w:iCs/>
          <w:color w:val="000000"/>
          <w:sz w:val="24"/>
          <w:szCs w:val="24"/>
          <w:lang w:eastAsia="en-US"/>
        </w:rPr>
        <w:t>Netto-Grundfläche mal 2 Personen = Besucher-Höchstzahl 1</w:t>
      </w:r>
    </w:p>
    <w:p w:rsidR="005C1438" w:rsidRPr="0020491E" w:rsidRDefault="005C1438" w:rsidP="0020491E">
      <w:pPr>
        <w:overflowPunct/>
        <w:ind w:left="426"/>
        <w:textAlignment w:val="auto"/>
        <w:rPr>
          <w:rFonts w:ascii="Arial" w:eastAsiaTheme="minorHAnsi" w:hAnsi="Arial" w:cs="Arial"/>
          <w:i/>
          <w:iCs/>
          <w:color w:val="000000"/>
          <w:sz w:val="24"/>
          <w:szCs w:val="24"/>
          <w:lang w:eastAsia="en-US"/>
        </w:rPr>
      </w:pP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Bei der Ermittlung der Breite der zur Verfügung stehenden Rettungswege ist die Summe der Breite der</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in den Rettungswegen liegenden Türen, die von den Veranstaltungsbesuchern benutzt werden können,</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anzugeben. Liegen mehrere Türen hintereinander, so ist jeweils nur ein Durchlass und zwar der im</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Rettungs</w:t>
      </w:r>
      <w:r>
        <w:rPr>
          <w:rFonts w:ascii="Arial" w:eastAsiaTheme="minorHAnsi" w:hAnsi="Arial" w:cs="Arial"/>
          <w:color w:val="000000"/>
          <w:sz w:val="24"/>
          <w:szCs w:val="24"/>
          <w:lang w:eastAsia="en-US"/>
        </w:rPr>
        <w:t>-</w:t>
      </w:r>
      <w:r w:rsidRPr="0020491E">
        <w:rPr>
          <w:rFonts w:ascii="Arial" w:eastAsiaTheme="minorHAnsi" w:hAnsi="Arial" w:cs="Arial"/>
          <w:color w:val="000000"/>
          <w:sz w:val="24"/>
          <w:szCs w:val="24"/>
          <w:lang w:eastAsia="en-US"/>
        </w:rPr>
        <w:t>weg liegende engste maßgebend.</w:t>
      </w: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Die Höchstzahl der Besucher aufgrund der zur Verfügung stehenden Rettungswege ist wie folgt zu</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ermitteln:</w:t>
      </w:r>
    </w:p>
    <w:p w:rsidR="0020491E" w:rsidRPr="0020491E" w:rsidRDefault="0020491E" w:rsidP="0020491E">
      <w:pPr>
        <w:overflowPunct/>
        <w:ind w:left="426"/>
        <w:textAlignment w:val="auto"/>
        <w:rPr>
          <w:rFonts w:ascii="Arial" w:eastAsiaTheme="minorHAnsi" w:hAnsi="Arial" w:cs="Arial"/>
          <w:i/>
          <w:iCs/>
          <w:color w:val="000000"/>
          <w:sz w:val="24"/>
          <w:szCs w:val="24"/>
          <w:lang w:eastAsia="en-US"/>
        </w:rPr>
      </w:pPr>
      <w:r w:rsidRPr="0020491E">
        <w:rPr>
          <w:rFonts w:ascii="Arial" w:eastAsiaTheme="minorHAnsi" w:hAnsi="Arial" w:cs="Arial"/>
          <w:i/>
          <w:iCs/>
          <w:color w:val="000000"/>
          <w:sz w:val="24"/>
          <w:szCs w:val="24"/>
          <w:lang w:eastAsia="en-US"/>
        </w:rPr>
        <w:t>Summe der Breite der in den Rettungswegen liegenden Türöffnungen mal 150 Personen = Besucher-</w:t>
      </w:r>
      <w:r>
        <w:rPr>
          <w:rFonts w:ascii="Arial" w:eastAsiaTheme="minorHAnsi" w:hAnsi="Arial" w:cs="Arial"/>
          <w:i/>
          <w:iCs/>
          <w:color w:val="000000"/>
          <w:sz w:val="24"/>
          <w:szCs w:val="24"/>
          <w:lang w:eastAsia="en-US"/>
        </w:rPr>
        <w:t xml:space="preserve"> </w:t>
      </w:r>
      <w:r w:rsidRPr="0020491E">
        <w:rPr>
          <w:rFonts w:ascii="Arial" w:eastAsiaTheme="minorHAnsi" w:hAnsi="Arial" w:cs="Arial"/>
          <w:i/>
          <w:iCs/>
          <w:color w:val="000000"/>
          <w:sz w:val="24"/>
          <w:szCs w:val="24"/>
          <w:lang w:eastAsia="en-US"/>
        </w:rPr>
        <w:t>Höchstzahl 2</w:t>
      </w:r>
    </w:p>
    <w:p w:rsidR="00B40716" w:rsidRDefault="00B40716" w:rsidP="0020491E">
      <w:pPr>
        <w:overflowPunct/>
        <w:ind w:left="426"/>
        <w:textAlignment w:val="auto"/>
        <w:rPr>
          <w:rFonts w:ascii="Arial" w:eastAsiaTheme="minorHAnsi" w:hAnsi="Arial" w:cs="Arial"/>
          <w:color w:val="000000"/>
          <w:sz w:val="24"/>
          <w:szCs w:val="24"/>
          <w:lang w:eastAsia="en-US"/>
        </w:rPr>
      </w:pP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Die verbindliche Höchstzahl der Veranstaltungsbesucher ist der aufgrund der Grundfläche oder nach der</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Breite der Rettungswege ermittelte niedrigste Wert.</w:t>
      </w:r>
    </w:p>
    <w:p w:rsidR="00B40716" w:rsidRDefault="00B40716" w:rsidP="0020491E">
      <w:pPr>
        <w:overflowPunct/>
        <w:ind w:left="426"/>
        <w:textAlignment w:val="auto"/>
        <w:rPr>
          <w:rFonts w:ascii="Arial" w:eastAsiaTheme="minorHAnsi" w:hAnsi="Arial" w:cs="Arial"/>
          <w:color w:val="000000"/>
          <w:sz w:val="24"/>
          <w:szCs w:val="24"/>
          <w:lang w:eastAsia="en-US"/>
        </w:rPr>
      </w:pP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lastRenderedPageBreak/>
        <w:t>Der Erlaubnisbehörde sind auf Verlangen Planunterlagen über die Veranstaltungsräume einschließlich</w:t>
      </w:r>
      <w:r>
        <w:rPr>
          <w:rFonts w:ascii="Arial" w:eastAsiaTheme="minorHAnsi" w:hAnsi="Arial" w:cs="Arial"/>
          <w:color w:val="000000"/>
          <w:sz w:val="24"/>
          <w:szCs w:val="24"/>
          <w:lang w:eastAsia="en-US"/>
        </w:rPr>
        <w:t xml:space="preserve"> </w:t>
      </w:r>
      <w:r w:rsidRPr="0020491E">
        <w:rPr>
          <w:rFonts w:ascii="Arial" w:eastAsiaTheme="minorHAnsi" w:hAnsi="Arial" w:cs="Arial"/>
          <w:color w:val="000000"/>
          <w:sz w:val="24"/>
          <w:szCs w:val="24"/>
          <w:lang w:eastAsia="en-US"/>
        </w:rPr>
        <w:t>der Rettungswege vorzulegen.</w:t>
      </w:r>
    </w:p>
    <w:p w:rsidR="00B40716" w:rsidRDefault="00B40716" w:rsidP="0020491E">
      <w:pPr>
        <w:overflowPunct/>
        <w:ind w:left="426"/>
        <w:textAlignment w:val="auto"/>
        <w:rPr>
          <w:rFonts w:ascii="Arial" w:eastAsiaTheme="minorHAnsi" w:hAnsi="Arial" w:cs="Arial"/>
          <w:color w:val="000000"/>
          <w:sz w:val="24"/>
          <w:szCs w:val="24"/>
          <w:lang w:eastAsia="en-US"/>
        </w:rPr>
      </w:pP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 xml:space="preserve">a) </w:t>
      </w:r>
      <w:r w:rsidRPr="005C1438">
        <w:rPr>
          <w:rFonts w:ascii="Arial" w:eastAsiaTheme="minorHAnsi" w:hAnsi="Arial" w:cs="Arial"/>
          <w:b/>
          <w:color w:val="000000"/>
          <w:sz w:val="24"/>
          <w:szCs w:val="24"/>
          <w:lang w:eastAsia="en-US"/>
        </w:rPr>
        <w:t>Berechnung nach Grundfläche</w:t>
      </w:r>
    </w:p>
    <w:tbl>
      <w:tblPr>
        <w:tblStyle w:val="Tabellenraster"/>
        <w:tblW w:w="0" w:type="auto"/>
        <w:tblInd w:w="534" w:type="dxa"/>
        <w:tblLook w:val="04A0" w:firstRow="1" w:lastRow="0" w:firstColumn="1" w:lastColumn="0" w:noHBand="0" w:noVBand="1"/>
      </w:tblPr>
      <w:tblGrid>
        <w:gridCol w:w="2774"/>
        <w:gridCol w:w="3561"/>
        <w:gridCol w:w="2249"/>
      </w:tblGrid>
      <w:tr w:rsidR="008C667A" w:rsidTr="008C667A">
        <w:tc>
          <w:tcPr>
            <w:tcW w:w="2865" w:type="dxa"/>
          </w:tcPr>
          <w:p w:rsidR="008C667A" w:rsidRDefault="008C667A" w:rsidP="0020491E">
            <w:pPr>
              <w:overflowPunc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qm</w:t>
            </w:r>
          </w:p>
        </w:tc>
        <w:tc>
          <w:tcPr>
            <w:tcW w:w="3655" w:type="dxa"/>
          </w:tcPr>
          <w:p w:rsidR="008C667A" w:rsidRDefault="008C667A" w:rsidP="008C667A">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mal 2 Personen =</w:t>
            </w:r>
          </w:p>
        </w:tc>
        <w:tc>
          <w:tcPr>
            <w:tcW w:w="2290" w:type="dxa"/>
          </w:tcPr>
          <w:p w:rsidR="008C667A" w:rsidRDefault="008C667A" w:rsidP="008C667A">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Personen</w:t>
            </w:r>
          </w:p>
        </w:tc>
      </w:tr>
    </w:tbl>
    <w:p w:rsidR="008C667A" w:rsidRDefault="008C667A" w:rsidP="0020491E">
      <w:pPr>
        <w:overflowPunct/>
        <w:ind w:left="426"/>
        <w:textAlignment w:val="auto"/>
        <w:rPr>
          <w:rFonts w:ascii="Arial" w:eastAsiaTheme="minorHAnsi" w:hAnsi="Arial" w:cs="Arial"/>
          <w:color w:val="000000"/>
          <w:sz w:val="24"/>
          <w:szCs w:val="24"/>
          <w:lang w:eastAsia="en-US"/>
        </w:rPr>
      </w:pPr>
    </w:p>
    <w:p w:rsidR="0020491E" w:rsidRPr="0020491E" w:rsidRDefault="0020491E" w:rsidP="0020491E">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qm mal 2 Personen = Personen</w:t>
      </w:r>
    </w:p>
    <w:p w:rsidR="00B40716" w:rsidRDefault="00B40716" w:rsidP="0020491E">
      <w:pPr>
        <w:overflowPunct/>
        <w:ind w:left="426"/>
        <w:textAlignment w:val="auto"/>
        <w:rPr>
          <w:rFonts w:ascii="Arial" w:eastAsiaTheme="minorHAnsi" w:hAnsi="Arial" w:cs="Arial"/>
          <w:color w:val="000000"/>
          <w:sz w:val="24"/>
          <w:szCs w:val="24"/>
          <w:lang w:eastAsia="en-US"/>
        </w:rPr>
      </w:pPr>
    </w:p>
    <w:p w:rsidR="0020491E" w:rsidRPr="0020491E" w:rsidRDefault="0020491E" w:rsidP="0020491E">
      <w:pPr>
        <w:overflowPunct/>
        <w:ind w:left="426"/>
        <w:textAlignment w:val="auto"/>
        <w:rPr>
          <w:rFonts w:ascii="Arial" w:eastAsiaTheme="minorHAnsi" w:hAnsi="Arial" w:cs="Arial"/>
          <w:b/>
          <w:bCs/>
          <w:color w:val="000000"/>
          <w:sz w:val="24"/>
          <w:szCs w:val="24"/>
          <w:lang w:eastAsia="en-US"/>
        </w:rPr>
      </w:pPr>
      <w:r w:rsidRPr="0020491E">
        <w:rPr>
          <w:rFonts w:ascii="Arial" w:eastAsiaTheme="minorHAnsi" w:hAnsi="Arial" w:cs="Arial"/>
          <w:color w:val="000000"/>
          <w:sz w:val="24"/>
          <w:szCs w:val="24"/>
          <w:lang w:eastAsia="en-US"/>
        </w:rPr>
        <w:t xml:space="preserve">b) </w:t>
      </w:r>
      <w:r w:rsidRPr="0020491E">
        <w:rPr>
          <w:rFonts w:ascii="Arial" w:eastAsiaTheme="minorHAnsi" w:hAnsi="Arial" w:cs="Arial"/>
          <w:b/>
          <w:bCs/>
          <w:color w:val="000000"/>
          <w:sz w:val="24"/>
          <w:szCs w:val="24"/>
          <w:lang w:eastAsia="en-US"/>
        </w:rPr>
        <w:t>Berechnung nach der Breite der Rettungswege</w:t>
      </w:r>
    </w:p>
    <w:tbl>
      <w:tblPr>
        <w:tblStyle w:val="Tabellenraster"/>
        <w:tblW w:w="0" w:type="auto"/>
        <w:tblInd w:w="534" w:type="dxa"/>
        <w:tblLook w:val="04A0" w:firstRow="1" w:lastRow="0" w:firstColumn="1" w:lastColumn="0" w:noHBand="0" w:noVBand="1"/>
      </w:tblPr>
      <w:tblGrid>
        <w:gridCol w:w="2511"/>
        <w:gridCol w:w="1358"/>
        <w:gridCol w:w="2544"/>
        <w:gridCol w:w="2171"/>
      </w:tblGrid>
      <w:tr w:rsidR="00434BDD" w:rsidTr="008C667A">
        <w:trPr>
          <w:gridAfter w:val="2"/>
          <w:wAfter w:w="4843" w:type="dxa"/>
        </w:trPr>
        <w:tc>
          <w:tcPr>
            <w:tcW w:w="2551" w:type="dxa"/>
          </w:tcPr>
          <w:p w:rsidR="00434BDD" w:rsidRDefault="00434BDD" w:rsidP="0020491E">
            <w:pPr>
              <w:overflowPunct/>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Hauptausgang</w:t>
            </w:r>
          </w:p>
        </w:tc>
        <w:tc>
          <w:tcPr>
            <w:tcW w:w="1416" w:type="dxa"/>
          </w:tcPr>
          <w:p w:rsidR="00434BDD" w:rsidRDefault="00434BDD" w:rsidP="00434BDD">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w:t>
            </w:r>
          </w:p>
        </w:tc>
      </w:tr>
      <w:tr w:rsidR="00434BDD" w:rsidTr="008C667A">
        <w:trPr>
          <w:gridAfter w:val="2"/>
          <w:wAfter w:w="4843" w:type="dxa"/>
        </w:trPr>
        <w:tc>
          <w:tcPr>
            <w:tcW w:w="2551" w:type="dxa"/>
          </w:tcPr>
          <w:p w:rsidR="00434BDD" w:rsidRDefault="00434BDD" w:rsidP="0020491E">
            <w:pPr>
              <w:overflowPunct/>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Nebenausgang</w:t>
            </w:r>
          </w:p>
        </w:tc>
        <w:tc>
          <w:tcPr>
            <w:tcW w:w="1416" w:type="dxa"/>
          </w:tcPr>
          <w:p w:rsidR="00434BDD" w:rsidRDefault="00434BDD" w:rsidP="00434BDD">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w:t>
            </w:r>
          </w:p>
        </w:tc>
      </w:tr>
      <w:tr w:rsidR="00434BDD" w:rsidTr="008C667A">
        <w:trPr>
          <w:gridAfter w:val="2"/>
          <w:wAfter w:w="4843" w:type="dxa"/>
        </w:trPr>
        <w:tc>
          <w:tcPr>
            <w:tcW w:w="2551" w:type="dxa"/>
          </w:tcPr>
          <w:p w:rsidR="00434BDD" w:rsidRDefault="00434BDD" w:rsidP="0020491E">
            <w:pPr>
              <w:overflowPunct/>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Nebenausgang</w:t>
            </w:r>
          </w:p>
        </w:tc>
        <w:tc>
          <w:tcPr>
            <w:tcW w:w="1416" w:type="dxa"/>
          </w:tcPr>
          <w:p w:rsidR="00434BDD" w:rsidRDefault="00434BDD" w:rsidP="00434BDD">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w:t>
            </w:r>
          </w:p>
        </w:tc>
      </w:tr>
      <w:tr w:rsidR="00434BDD" w:rsidTr="008C667A">
        <w:trPr>
          <w:gridAfter w:val="2"/>
          <w:wAfter w:w="4843" w:type="dxa"/>
        </w:trPr>
        <w:tc>
          <w:tcPr>
            <w:tcW w:w="2551" w:type="dxa"/>
          </w:tcPr>
          <w:p w:rsidR="00434BDD" w:rsidRDefault="00434BDD" w:rsidP="0020491E">
            <w:pPr>
              <w:overflowPunct/>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Nebenausgang</w:t>
            </w:r>
          </w:p>
        </w:tc>
        <w:tc>
          <w:tcPr>
            <w:tcW w:w="1416" w:type="dxa"/>
          </w:tcPr>
          <w:p w:rsidR="00434BDD" w:rsidRDefault="00434BDD" w:rsidP="00434BDD">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w:t>
            </w:r>
          </w:p>
        </w:tc>
      </w:tr>
      <w:tr w:rsidR="00434BDD" w:rsidTr="008C667A">
        <w:trPr>
          <w:gridAfter w:val="2"/>
          <w:wAfter w:w="4843" w:type="dxa"/>
        </w:trPr>
        <w:tc>
          <w:tcPr>
            <w:tcW w:w="2551" w:type="dxa"/>
          </w:tcPr>
          <w:p w:rsidR="00434BDD" w:rsidRDefault="00434BDD" w:rsidP="0020491E">
            <w:pPr>
              <w:overflowPunct/>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Nebenausgang</w:t>
            </w:r>
          </w:p>
        </w:tc>
        <w:tc>
          <w:tcPr>
            <w:tcW w:w="1416" w:type="dxa"/>
          </w:tcPr>
          <w:p w:rsidR="00434BDD" w:rsidRDefault="00434BDD" w:rsidP="00434BDD">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w:t>
            </w:r>
          </w:p>
        </w:tc>
      </w:tr>
      <w:tr w:rsidR="00434BDD" w:rsidTr="008C667A">
        <w:tc>
          <w:tcPr>
            <w:tcW w:w="2551" w:type="dxa"/>
          </w:tcPr>
          <w:p w:rsidR="00434BDD" w:rsidRDefault="00434BDD" w:rsidP="0020491E">
            <w:pPr>
              <w:overflowPunc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Summe</w:t>
            </w:r>
          </w:p>
        </w:tc>
        <w:tc>
          <w:tcPr>
            <w:tcW w:w="1416" w:type="dxa"/>
          </w:tcPr>
          <w:p w:rsidR="00434BDD" w:rsidRDefault="00434BDD" w:rsidP="00434BDD">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w:t>
            </w:r>
          </w:p>
        </w:tc>
        <w:tc>
          <w:tcPr>
            <w:tcW w:w="2615" w:type="dxa"/>
          </w:tcPr>
          <w:p w:rsidR="00434BDD" w:rsidRDefault="008C667A" w:rsidP="008C667A">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mal</w:t>
            </w:r>
            <w:r w:rsidR="00434BDD">
              <w:rPr>
                <w:rFonts w:ascii="Arial" w:eastAsiaTheme="minorHAnsi" w:hAnsi="Arial" w:cs="Arial"/>
                <w:color w:val="000000"/>
                <w:sz w:val="24"/>
                <w:szCs w:val="24"/>
                <w:lang w:eastAsia="en-US"/>
              </w:rPr>
              <w:t xml:space="preserve"> 150 Personen</w:t>
            </w:r>
            <w:r>
              <w:rPr>
                <w:rFonts w:ascii="Arial" w:eastAsiaTheme="minorHAnsi" w:hAnsi="Arial" w:cs="Arial"/>
                <w:color w:val="000000"/>
                <w:sz w:val="24"/>
                <w:szCs w:val="24"/>
                <w:lang w:eastAsia="en-US"/>
              </w:rPr>
              <w:t>=</w:t>
            </w:r>
          </w:p>
        </w:tc>
        <w:tc>
          <w:tcPr>
            <w:tcW w:w="2228" w:type="dxa"/>
          </w:tcPr>
          <w:p w:rsidR="00434BDD" w:rsidRDefault="008C667A" w:rsidP="008C667A">
            <w:pPr>
              <w:overflowPunct/>
              <w:jc w:val="right"/>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Personen</w:t>
            </w:r>
          </w:p>
        </w:tc>
      </w:tr>
    </w:tbl>
    <w:p w:rsidR="00434BDD" w:rsidRDefault="00434BDD" w:rsidP="0020491E">
      <w:pPr>
        <w:overflowPunct/>
        <w:ind w:left="426"/>
        <w:textAlignment w:val="auto"/>
        <w:rPr>
          <w:rFonts w:ascii="Arial" w:eastAsiaTheme="minorHAnsi" w:hAnsi="Arial" w:cs="Arial"/>
          <w:color w:val="000000"/>
          <w:sz w:val="24"/>
          <w:szCs w:val="24"/>
          <w:lang w:eastAsia="en-US"/>
        </w:rPr>
      </w:pPr>
    </w:p>
    <w:p w:rsidR="0020491E" w:rsidRDefault="0020491E" w:rsidP="002F76A4">
      <w:pPr>
        <w:overflowPunct/>
        <w:ind w:left="426"/>
        <w:textAlignment w:val="auto"/>
        <w:rPr>
          <w:rFonts w:ascii="Arial" w:eastAsiaTheme="minorHAnsi" w:hAnsi="Arial" w:cs="Arial"/>
          <w:color w:val="000000"/>
          <w:sz w:val="24"/>
          <w:szCs w:val="24"/>
          <w:lang w:eastAsia="en-US"/>
        </w:rPr>
      </w:pPr>
      <w:r w:rsidRPr="0020491E">
        <w:rPr>
          <w:rFonts w:ascii="Arial" w:eastAsiaTheme="minorHAnsi" w:hAnsi="Arial" w:cs="Arial"/>
          <w:color w:val="000000"/>
          <w:sz w:val="24"/>
          <w:szCs w:val="24"/>
          <w:lang w:eastAsia="en-US"/>
        </w:rPr>
        <w:t>Maßgebend ist die ermittelte niedrigere Zahl</w:t>
      </w:r>
      <w:r w:rsidR="002A72E1">
        <w:rPr>
          <w:rFonts w:ascii="Arial" w:eastAsiaTheme="minorHAnsi" w:hAnsi="Arial" w:cs="Arial"/>
          <w:color w:val="000000"/>
          <w:sz w:val="24"/>
          <w:szCs w:val="24"/>
          <w:lang w:eastAsia="en-US"/>
        </w:rPr>
        <w:t>.</w:t>
      </w:r>
    </w:p>
    <w:p w:rsidR="002F76A4" w:rsidRPr="0020491E" w:rsidRDefault="002F76A4" w:rsidP="002F76A4">
      <w:pPr>
        <w:overflowPunct/>
        <w:ind w:left="426"/>
        <w:textAlignment w:val="auto"/>
        <w:rPr>
          <w:rFonts w:ascii="Arial" w:eastAsiaTheme="minorHAnsi" w:hAnsi="Arial" w:cs="Arial"/>
          <w:color w:val="000000"/>
          <w:sz w:val="24"/>
          <w:szCs w:val="24"/>
          <w:lang w:eastAsia="en-US"/>
        </w:rPr>
      </w:pPr>
    </w:p>
    <w:p w:rsidR="0020491E" w:rsidRPr="0020491E" w:rsidRDefault="0020491E" w:rsidP="002F76A4">
      <w:pPr>
        <w:overflowPunct/>
        <w:ind w:left="426"/>
        <w:textAlignment w:val="auto"/>
        <w:rPr>
          <w:rFonts w:ascii="Arial" w:eastAsiaTheme="minorHAnsi" w:hAnsi="Arial" w:cs="Arial"/>
          <w:b/>
          <w:bCs/>
          <w:color w:val="000000"/>
          <w:sz w:val="24"/>
          <w:szCs w:val="24"/>
          <w:lang w:eastAsia="en-US"/>
        </w:rPr>
      </w:pPr>
      <w:r w:rsidRPr="0020491E">
        <w:rPr>
          <w:rFonts w:ascii="Arial" w:eastAsiaTheme="minorHAnsi" w:hAnsi="Arial" w:cs="Arial"/>
          <w:b/>
          <w:bCs/>
          <w:color w:val="000000"/>
          <w:sz w:val="24"/>
          <w:szCs w:val="24"/>
          <w:lang w:eastAsia="en-US"/>
        </w:rPr>
        <w:t>E. Lärmschutz</w:t>
      </w:r>
    </w:p>
    <w:p w:rsidR="002A72E1" w:rsidRDefault="002A72E1" w:rsidP="002F76A4">
      <w:pPr>
        <w:overflowPunct/>
        <w:ind w:left="426"/>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Es sind die Immissionswerte gemäß TA Lärm einzuhalten.</w:t>
      </w:r>
    </w:p>
    <w:p w:rsidR="002A72E1" w:rsidRDefault="002A72E1" w:rsidP="002F76A4">
      <w:pPr>
        <w:overflowPunct/>
        <w:ind w:left="426"/>
        <w:textAlignment w:val="auto"/>
        <w:rPr>
          <w:rFonts w:ascii="Arial" w:eastAsiaTheme="minorHAnsi" w:hAnsi="Arial" w:cs="Arial"/>
          <w:color w:val="000000"/>
          <w:sz w:val="24"/>
          <w:szCs w:val="24"/>
          <w:lang w:eastAsia="en-US"/>
        </w:rPr>
      </w:pPr>
    </w:p>
    <w:sectPr w:rsidR="002A72E1" w:rsidSect="00A42039">
      <w:headerReference w:type="default" r:id="rId8"/>
      <w:pgSz w:w="11907" w:h="16840" w:code="9"/>
      <w:pgMar w:top="1418" w:right="1418" w:bottom="1247" w:left="1361"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A2" w:rsidRDefault="000222A2" w:rsidP="006F253E">
      <w:r>
        <w:separator/>
      </w:r>
    </w:p>
  </w:endnote>
  <w:endnote w:type="continuationSeparator" w:id="0">
    <w:p w:rsidR="000222A2" w:rsidRDefault="000222A2" w:rsidP="006F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A2" w:rsidRDefault="000222A2" w:rsidP="006F253E">
      <w:r>
        <w:separator/>
      </w:r>
    </w:p>
  </w:footnote>
  <w:footnote w:type="continuationSeparator" w:id="0">
    <w:p w:rsidR="000222A2" w:rsidRDefault="000222A2" w:rsidP="006F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EC" w:rsidRDefault="007E0CEC">
    <w:pPr>
      <w:pStyle w:val="Kopfzeile"/>
      <w:rPr>
        <w:rFonts w:ascii="Arial" w:hAnsi="Arial"/>
        <w:sz w:val="16"/>
      </w:rPr>
    </w:pPr>
  </w:p>
  <w:p w:rsidR="007E0CEC" w:rsidRDefault="007E0CEC">
    <w:pPr>
      <w:pStyle w:val="Kopfzeile"/>
      <w:rPr>
        <w:rFonts w:ascii="Arial" w:hAnsi="Arial"/>
        <w:sz w:val="24"/>
      </w:rPr>
    </w:pPr>
  </w:p>
  <w:p w:rsidR="007E0CEC" w:rsidRDefault="007E0CEC">
    <w:pPr>
      <w:pStyle w:val="Kopfzeile"/>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A4"/>
    <w:multiLevelType w:val="hybridMultilevel"/>
    <w:tmpl w:val="8BA0066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1D16EEB"/>
    <w:multiLevelType w:val="hybridMultilevel"/>
    <w:tmpl w:val="3C6678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F52C5A"/>
    <w:multiLevelType w:val="hybridMultilevel"/>
    <w:tmpl w:val="B76892DA"/>
    <w:lvl w:ilvl="0" w:tplc="7B284E48">
      <w:start w:val="1"/>
      <w:numFmt w:val="decimal"/>
      <w:lvlText w:val="%1."/>
      <w:lvlJc w:val="left"/>
      <w:pPr>
        <w:ind w:left="720" w:hanging="360"/>
      </w:pPr>
      <w:rPr>
        <w:rFonts w:hint="default"/>
      </w:rPr>
    </w:lvl>
    <w:lvl w:ilvl="1" w:tplc="5072B7DE">
      <w:start w:val="1"/>
      <w:numFmt w:val="lowerLetter"/>
      <w:lvlText w:val="%2)"/>
      <w:lvlJc w:val="left"/>
      <w:pPr>
        <w:tabs>
          <w:tab w:val="num" w:pos="0"/>
        </w:tabs>
        <w:ind w:left="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42B27500"/>
    <w:multiLevelType w:val="hybridMultilevel"/>
    <w:tmpl w:val="704204FE"/>
    <w:lvl w:ilvl="0" w:tplc="28B8630C">
      <w:start w:val="1"/>
      <w:numFmt w:val="lowerLetter"/>
      <w:lvlText w:val="%1)"/>
      <w:lvlJc w:val="left"/>
      <w:pPr>
        <w:ind w:left="831" w:hanging="360"/>
      </w:pPr>
    </w:lvl>
    <w:lvl w:ilvl="1" w:tplc="04070019">
      <w:start w:val="1"/>
      <w:numFmt w:val="lowerLetter"/>
      <w:lvlText w:val="%2."/>
      <w:lvlJc w:val="left"/>
      <w:pPr>
        <w:ind w:left="1551" w:hanging="360"/>
      </w:pPr>
    </w:lvl>
    <w:lvl w:ilvl="2" w:tplc="0407001B">
      <w:start w:val="1"/>
      <w:numFmt w:val="lowerRoman"/>
      <w:lvlText w:val="%3."/>
      <w:lvlJc w:val="right"/>
      <w:pPr>
        <w:ind w:left="2271" w:hanging="180"/>
      </w:pPr>
    </w:lvl>
    <w:lvl w:ilvl="3" w:tplc="0407000F">
      <w:start w:val="1"/>
      <w:numFmt w:val="decimal"/>
      <w:lvlText w:val="%4."/>
      <w:lvlJc w:val="left"/>
      <w:pPr>
        <w:ind w:left="2991" w:hanging="360"/>
      </w:pPr>
    </w:lvl>
    <w:lvl w:ilvl="4" w:tplc="04070019">
      <w:start w:val="1"/>
      <w:numFmt w:val="lowerLetter"/>
      <w:lvlText w:val="%5."/>
      <w:lvlJc w:val="left"/>
      <w:pPr>
        <w:ind w:left="3711" w:hanging="360"/>
      </w:pPr>
    </w:lvl>
    <w:lvl w:ilvl="5" w:tplc="0407001B">
      <w:start w:val="1"/>
      <w:numFmt w:val="lowerRoman"/>
      <w:lvlText w:val="%6."/>
      <w:lvlJc w:val="right"/>
      <w:pPr>
        <w:ind w:left="4431" w:hanging="180"/>
      </w:pPr>
    </w:lvl>
    <w:lvl w:ilvl="6" w:tplc="0407000F">
      <w:start w:val="1"/>
      <w:numFmt w:val="decimal"/>
      <w:lvlText w:val="%7."/>
      <w:lvlJc w:val="left"/>
      <w:pPr>
        <w:ind w:left="5151" w:hanging="360"/>
      </w:pPr>
    </w:lvl>
    <w:lvl w:ilvl="7" w:tplc="04070019">
      <w:start w:val="1"/>
      <w:numFmt w:val="lowerLetter"/>
      <w:lvlText w:val="%8."/>
      <w:lvlJc w:val="left"/>
      <w:pPr>
        <w:ind w:left="5871" w:hanging="360"/>
      </w:pPr>
    </w:lvl>
    <w:lvl w:ilvl="8" w:tplc="0407001B">
      <w:start w:val="1"/>
      <w:numFmt w:val="lowerRoman"/>
      <w:lvlText w:val="%9."/>
      <w:lvlJc w:val="right"/>
      <w:pPr>
        <w:ind w:left="6591" w:hanging="180"/>
      </w:pPr>
    </w:lvl>
  </w:abstractNum>
  <w:abstractNum w:abstractNumId="4" w15:restartNumberingAfterBreak="0">
    <w:nsid w:val="52B11C9E"/>
    <w:multiLevelType w:val="hybridMultilevel"/>
    <w:tmpl w:val="D8140CDA"/>
    <w:lvl w:ilvl="0" w:tplc="0407000B">
      <w:start w:val="1"/>
      <w:numFmt w:val="bullet"/>
      <w:lvlText w:val=""/>
      <w:lvlJc w:val="left"/>
      <w:pPr>
        <w:ind w:left="1146" w:hanging="360"/>
      </w:pPr>
      <w:rPr>
        <w:rFonts w:ascii="Wingdings" w:hAnsi="Wingdings" w:cs="Wingdings"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cs="Wingdings" w:hint="default"/>
      </w:rPr>
    </w:lvl>
    <w:lvl w:ilvl="3" w:tplc="04070001">
      <w:start w:val="1"/>
      <w:numFmt w:val="bullet"/>
      <w:lvlText w:val=""/>
      <w:lvlJc w:val="left"/>
      <w:pPr>
        <w:ind w:left="3306" w:hanging="360"/>
      </w:pPr>
      <w:rPr>
        <w:rFonts w:ascii="Symbol" w:hAnsi="Symbol" w:cs="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cs="Wingdings" w:hint="default"/>
      </w:rPr>
    </w:lvl>
    <w:lvl w:ilvl="6" w:tplc="04070001">
      <w:start w:val="1"/>
      <w:numFmt w:val="bullet"/>
      <w:lvlText w:val=""/>
      <w:lvlJc w:val="left"/>
      <w:pPr>
        <w:ind w:left="5466" w:hanging="360"/>
      </w:pPr>
      <w:rPr>
        <w:rFonts w:ascii="Symbol" w:hAnsi="Symbol" w:cs="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cs="Wingdings" w:hint="default"/>
      </w:rPr>
    </w:lvl>
  </w:abstractNum>
  <w:abstractNum w:abstractNumId="5" w15:restartNumberingAfterBreak="0">
    <w:nsid w:val="7CE95109"/>
    <w:multiLevelType w:val="hybridMultilevel"/>
    <w:tmpl w:val="3FCA910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39"/>
    <w:rsid w:val="000222A2"/>
    <w:rsid w:val="0020491E"/>
    <w:rsid w:val="00291FA4"/>
    <w:rsid w:val="002A72E1"/>
    <w:rsid w:val="002F76A4"/>
    <w:rsid w:val="002F7772"/>
    <w:rsid w:val="003E5110"/>
    <w:rsid w:val="004140F8"/>
    <w:rsid w:val="00434BDD"/>
    <w:rsid w:val="004451E5"/>
    <w:rsid w:val="005A4BB2"/>
    <w:rsid w:val="005C1438"/>
    <w:rsid w:val="005D6500"/>
    <w:rsid w:val="005F700B"/>
    <w:rsid w:val="006E3AA9"/>
    <w:rsid w:val="006F253E"/>
    <w:rsid w:val="00710061"/>
    <w:rsid w:val="007642DD"/>
    <w:rsid w:val="0078564D"/>
    <w:rsid w:val="007E0CEC"/>
    <w:rsid w:val="0087045A"/>
    <w:rsid w:val="008C667A"/>
    <w:rsid w:val="009E4EA0"/>
    <w:rsid w:val="00A37AC8"/>
    <w:rsid w:val="00A42039"/>
    <w:rsid w:val="00A8144F"/>
    <w:rsid w:val="00B05F62"/>
    <w:rsid w:val="00B40716"/>
    <w:rsid w:val="00BB19AF"/>
    <w:rsid w:val="00BF56DE"/>
    <w:rsid w:val="00C466C2"/>
    <w:rsid w:val="00D150DF"/>
    <w:rsid w:val="00E436CB"/>
    <w:rsid w:val="00E44907"/>
    <w:rsid w:val="00F15CB2"/>
    <w:rsid w:val="00F2373C"/>
    <w:rsid w:val="00FA2060"/>
    <w:rsid w:val="00FB6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D58C1-C558-4B82-9CFF-42017FB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039"/>
    <w:pPr>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42039"/>
    <w:pPr>
      <w:tabs>
        <w:tab w:val="center" w:pos="4536"/>
        <w:tab w:val="right" w:pos="9072"/>
      </w:tabs>
    </w:pPr>
  </w:style>
  <w:style w:type="character" w:customStyle="1" w:styleId="KopfzeileZchn">
    <w:name w:val="Kopfzeile Zchn"/>
    <w:basedOn w:val="Absatz-Standardschriftart"/>
    <w:link w:val="Kopfzeile"/>
    <w:rsid w:val="00A4203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A42039"/>
    <w:pPr>
      <w:ind w:left="708"/>
    </w:pPr>
  </w:style>
  <w:style w:type="table" w:styleId="Tabellenraster">
    <w:name w:val="Table Grid"/>
    <w:basedOn w:val="NormaleTabelle"/>
    <w:uiPriority w:val="59"/>
    <w:rsid w:val="0043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1381">
      <w:bodyDiv w:val="1"/>
      <w:marLeft w:val="0"/>
      <w:marRight w:val="0"/>
      <w:marTop w:val="0"/>
      <w:marBottom w:val="0"/>
      <w:divBdr>
        <w:top w:val="none" w:sz="0" w:space="0" w:color="auto"/>
        <w:left w:val="none" w:sz="0" w:space="0" w:color="auto"/>
        <w:bottom w:val="none" w:sz="0" w:space="0" w:color="auto"/>
        <w:right w:val="none" w:sz="0" w:space="0" w:color="auto"/>
      </w:divBdr>
      <w:divsChild>
        <w:div w:id="76415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1D088-3B2C-4085-BDC4-AA6D9062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Becker</dc:creator>
  <cp:keywords/>
  <dc:description/>
  <cp:lastModifiedBy>Daniela Preuß</cp:lastModifiedBy>
  <cp:revision>2</cp:revision>
  <cp:lastPrinted>2013-11-20T08:55:00Z</cp:lastPrinted>
  <dcterms:created xsi:type="dcterms:W3CDTF">2022-04-22T06:41:00Z</dcterms:created>
  <dcterms:modified xsi:type="dcterms:W3CDTF">2022-04-22T06:41:00Z</dcterms:modified>
</cp:coreProperties>
</file>